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5E472F" w14:textId="77777777" w:rsidR="00072D90" w:rsidRPr="00F52E08" w:rsidRDefault="00F545C6" w:rsidP="00F545C6">
      <w:pPr>
        <w:spacing w:line="276" w:lineRule="auto"/>
        <w:rPr>
          <w:szCs w:val="24"/>
        </w:rPr>
      </w:pPr>
      <w:r>
        <w:rPr>
          <w:noProof/>
          <w:lang w:eastAsia="hr-HR"/>
        </w:rPr>
        <mc:AlternateContent>
          <mc:Choice Requires="wps">
            <w:drawing>
              <wp:anchor distT="0" distB="0" distL="114300" distR="114300" simplePos="0" relativeHeight="251658240" behindDoc="0" locked="0" layoutInCell="1" allowOverlap="1" wp14:anchorId="11A4F7CE" wp14:editId="00C35B2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CED6E58" w14:textId="77777777" w:rsidR="00F545C6" w:rsidRPr="00D32E04" w:rsidRDefault="00F545C6" w:rsidP="00F545C6">
                            <w:pPr>
                              <w:spacing w:line="276" w:lineRule="auto"/>
                              <w:jc w:val="center"/>
                            </w:pPr>
                            <w:r w:rsidRPr="00D32E04">
                              <w:object w:dxaOrig="846" w:dyaOrig="1050" w14:anchorId="5E743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3pt;height:52.5pt" o:ole="">
                                  <v:imagedata r:id="rId11" o:title=""/>
                                </v:shape>
                                <o:OLEObject Type="Embed" ProgID="MSDraw" ShapeID="_x0000_i1026" DrawAspect="Content" ObjectID="_1664016364" r:id="rId12">
                                  <o:FieldCodes>\* mergeformat</o:FieldCodes>
                                </o:OLEObject>
                              </w:object>
                            </w:r>
                          </w:p>
                          <w:p w14:paraId="025CCF72" w14:textId="77777777" w:rsidR="00F545C6" w:rsidRPr="00D32E04" w:rsidRDefault="00F545C6" w:rsidP="00F545C6">
                            <w:pPr>
                              <w:spacing w:line="276" w:lineRule="auto"/>
                              <w:jc w:val="center"/>
                            </w:pPr>
                            <w:r w:rsidRPr="00D32E04">
                              <w:t>REPUBLIKA HRVATSKA</w:t>
                            </w:r>
                          </w:p>
                          <w:p w14:paraId="3D8EFA64" w14:textId="77777777" w:rsidR="00F545C6" w:rsidRPr="002E5236" w:rsidRDefault="00F545C6" w:rsidP="00F545C6">
                            <w:pPr>
                              <w:jc w:val="center"/>
                            </w:pPr>
                            <w:r w:rsidRPr="00D32E04">
                              <w:t>URED PREDSJEDNIKA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A4F7CE"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" filled="f" stroked="f" strokeweight=".5pt">
                <v:textbox style="mso-fit-shape-to-text:t">
                  <w:txbxContent>
                    <w:p w14:paraId="3CED6E58" w14:textId="77777777" w:rsidR="00F545C6" w:rsidRPr="00D32E04" w:rsidRDefault="00F545C6" w:rsidP="00F545C6">
                      <w:pPr>
                        <w:spacing w:line="276" w:lineRule="auto"/>
                        <w:jc w:val="center"/>
                      </w:pPr>
                      <w:r w:rsidRPr="00D32E04">
                        <w:object w:dxaOrig="846" w:dyaOrig="1050" w14:anchorId="5E743AF8">
                          <v:shape id="_x0000_i1026" type="#_x0000_t75" style="width:42.3pt;height:52.5pt">
                            <v:imagedata r:id="rId13" o:title=""/>
                          </v:shape>
                          <o:OLEObject Type="Embed" ProgID="MSDraw" ShapeID="_x0000_i1026" DrawAspect="Content" ObjectID="_1664003718" r:id="rId14">
                            <o:FieldCodes>\* mergeformat</o:FieldCodes>
                          </o:OLEObject>
                        </w:object>
                      </w:r>
                    </w:p>
                    <w:p w14:paraId="025CCF72" w14:textId="77777777" w:rsidR="00F545C6" w:rsidRPr="00D32E04" w:rsidRDefault="00F545C6" w:rsidP="00F545C6">
                      <w:pPr>
                        <w:spacing w:line="276" w:lineRule="auto"/>
                        <w:jc w:val="center"/>
                      </w:pPr>
                      <w:r w:rsidRPr="00D32E04">
                        <w:t>REPUBLIKA HRVATSKA</w:t>
                      </w:r>
                    </w:p>
                    <w:p w14:paraId="3D8EFA64" w14:textId="77777777" w:rsidR="00F545C6" w:rsidRPr="002E5236" w:rsidRDefault="00F545C6" w:rsidP="00F545C6">
                      <w:pPr>
                        <w:jc w:val="center"/>
                      </w:pPr>
                      <w:r w:rsidRPr="00D32E04">
                        <w:t>URED PREDSJEDNIKA</w:t>
                      </w:r>
                    </w:p>
                  </w:txbxContent>
                </v:textbox>
                <w10:wrap type="square"/>
              </v:shape>
            </w:pict>
          </mc:Fallback>
        </mc:AlternateContent>
      </w:r>
    </w:p>
    <w:p w14:paraId="3128AE17" w14:textId="77777777" w:rsidR="00F52E08" w:rsidRPr="00F52E08" w:rsidRDefault="00F52E08" w:rsidP="00F545C6">
      <w:pPr>
        <w:spacing w:line="276" w:lineRule="auto"/>
        <w:rPr>
          <w:szCs w:val="24"/>
        </w:rPr>
      </w:pPr>
    </w:p>
    <w:p w14:paraId="00AB7815" w14:textId="77777777" w:rsidR="00F52E08" w:rsidRPr="00F52E08" w:rsidRDefault="00F52E08" w:rsidP="00F545C6">
      <w:pPr>
        <w:spacing w:line="276" w:lineRule="auto"/>
        <w:rPr>
          <w:szCs w:val="24"/>
        </w:rPr>
      </w:pPr>
    </w:p>
    <w:p w14:paraId="4D2A7B4B" w14:textId="77777777" w:rsidR="00F52E08" w:rsidRPr="00F52E08" w:rsidRDefault="00F52E08" w:rsidP="00F545C6">
      <w:pPr>
        <w:spacing w:line="276" w:lineRule="auto"/>
        <w:rPr>
          <w:szCs w:val="24"/>
        </w:rPr>
      </w:pPr>
    </w:p>
    <w:p w14:paraId="71C8D8E4" w14:textId="77777777" w:rsidR="00F52E08" w:rsidRPr="00F52E08" w:rsidRDefault="00F52E08" w:rsidP="00F545C6">
      <w:pPr>
        <w:spacing w:line="276" w:lineRule="auto"/>
        <w:rPr>
          <w:szCs w:val="24"/>
        </w:rPr>
      </w:pPr>
    </w:p>
    <w:p w14:paraId="413596AB" w14:textId="77777777" w:rsidR="00F545C6" w:rsidRDefault="00F545C6" w:rsidP="00F52E08">
      <w:pPr>
        <w:spacing w:line="276" w:lineRule="auto"/>
        <w:jc w:val="both"/>
        <w:rPr>
          <w:szCs w:val="24"/>
        </w:rPr>
      </w:pPr>
    </w:p>
    <w:p w14:paraId="3FE1F111" w14:textId="77777777" w:rsidR="00392251" w:rsidRDefault="00392251" w:rsidP="00F52E08">
      <w:pPr>
        <w:spacing w:line="276" w:lineRule="auto"/>
        <w:jc w:val="both"/>
        <w:rPr>
          <w:szCs w:val="24"/>
        </w:rPr>
      </w:pPr>
    </w:p>
    <w:p w14:paraId="7AE82422" w14:textId="1E62E8C8" w:rsidR="00F16494" w:rsidRPr="00E63A80" w:rsidRDefault="008879BA" w:rsidP="00E63A80">
      <w:pPr>
        <w:spacing w:line="276" w:lineRule="auto"/>
        <w:jc w:val="center"/>
        <w:rPr>
          <w:b/>
          <w:bCs/>
          <w:sz w:val="28"/>
          <w:szCs w:val="28"/>
        </w:rPr>
      </w:pPr>
      <w:r w:rsidRPr="00E63A80">
        <w:rPr>
          <w:b/>
          <w:bCs/>
          <w:sz w:val="28"/>
          <w:szCs w:val="28"/>
        </w:rPr>
        <w:t xml:space="preserve">Smjernice za </w:t>
      </w:r>
      <w:r w:rsidR="002624A9">
        <w:rPr>
          <w:b/>
          <w:bCs/>
          <w:sz w:val="28"/>
          <w:szCs w:val="28"/>
        </w:rPr>
        <w:t>p</w:t>
      </w:r>
      <w:r w:rsidR="00E63A80" w:rsidRPr="00E63A80">
        <w:rPr>
          <w:b/>
          <w:bCs/>
          <w:sz w:val="28"/>
          <w:szCs w:val="28"/>
        </w:rPr>
        <w:t xml:space="preserve">rogramiranje </w:t>
      </w:r>
      <w:r w:rsidR="002624A9">
        <w:rPr>
          <w:b/>
          <w:bCs/>
          <w:sz w:val="28"/>
          <w:szCs w:val="28"/>
        </w:rPr>
        <w:t>O</w:t>
      </w:r>
      <w:r w:rsidR="00E63A80" w:rsidRPr="00E63A80">
        <w:rPr>
          <w:b/>
          <w:bCs/>
          <w:sz w:val="28"/>
          <w:szCs w:val="28"/>
        </w:rPr>
        <w:t>perativn</w:t>
      </w:r>
      <w:r w:rsidR="009E2499">
        <w:rPr>
          <w:b/>
          <w:bCs/>
          <w:sz w:val="28"/>
          <w:szCs w:val="28"/>
        </w:rPr>
        <w:t>og</w:t>
      </w:r>
      <w:r w:rsidR="00E63A80" w:rsidRPr="00E63A80">
        <w:rPr>
          <w:b/>
          <w:bCs/>
          <w:sz w:val="28"/>
          <w:szCs w:val="28"/>
        </w:rPr>
        <w:t xml:space="preserve"> programa za financijsku perspektivu 2021. – 2027. i Plana za korištenje Fonda za oporavak</w:t>
      </w:r>
    </w:p>
    <w:p w14:paraId="60874509" w14:textId="3E9CC858" w:rsidR="00F16494" w:rsidRDefault="00F16494" w:rsidP="00F52E08">
      <w:pPr>
        <w:spacing w:line="276" w:lineRule="auto"/>
        <w:jc w:val="both"/>
        <w:rPr>
          <w:szCs w:val="24"/>
        </w:rPr>
      </w:pPr>
    </w:p>
    <w:p w14:paraId="1FBE9F61" w14:textId="6EF503AF" w:rsidR="005000CC" w:rsidRDefault="005000CC" w:rsidP="00F52E08">
      <w:pPr>
        <w:spacing w:line="276" w:lineRule="auto"/>
        <w:jc w:val="both"/>
        <w:rPr>
          <w:szCs w:val="24"/>
        </w:rPr>
      </w:pPr>
    </w:p>
    <w:p w14:paraId="489B3A4C" w14:textId="16E2B2AC" w:rsidR="005000CC" w:rsidRPr="001C0408" w:rsidRDefault="005000CC" w:rsidP="00F52E08">
      <w:pPr>
        <w:spacing w:line="276" w:lineRule="auto"/>
        <w:jc w:val="both"/>
        <w:rPr>
          <w:b/>
          <w:bCs/>
          <w:sz w:val="28"/>
          <w:szCs w:val="28"/>
        </w:rPr>
      </w:pPr>
      <w:r w:rsidRPr="001C0408">
        <w:rPr>
          <w:b/>
          <w:bCs/>
          <w:sz w:val="28"/>
          <w:szCs w:val="28"/>
        </w:rPr>
        <w:t>Sažetak</w:t>
      </w:r>
    </w:p>
    <w:p w14:paraId="11ED37AB" w14:textId="77777777" w:rsidR="005000CC" w:rsidRDefault="005000CC" w:rsidP="00F52E08">
      <w:pPr>
        <w:spacing w:line="276" w:lineRule="auto"/>
        <w:jc w:val="both"/>
        <w:rPr>
          <w:szCs w:val="24"/>
        </w:rPr>
      </w:pPr>
    </w:p>
    <w:p w14:paraId="7F3CD939" w14:textId="28F8B388" w:rsidR="00F16494" w:rsidRPr="00E77F10" w:rsidRDefault="00F16494" w:rsidP="00B008BE">
      <w:pPr>
        <w:ind w:right="288"/>
        <w:jc w:val="both"/>
        <w:rPr>
          <w:i/>
          <w:iCs/>
        </w:rPr>
      </w:pPr>
      <w:r>
        <w:rPr>
          <w:i/>
          <w:iCs/>
        </w:rPr>
        <w:t xml:space="preserve">Ove smjernice izrađene su od strane </w:t>
      </w:r>
      <w:r w:rsidR="005000CC" w:rsidRPr="005000CC">
        <w:rPr>
          <w:i/>
          <w:iCs/>
          <w:szCs w:val="24"/>
        </w:rPr>
        <w:t>Vijeća predsjednika Republike Hrvatske za energetsku tranziciju</w:t>
      </w:r>
      <w:r w:rsidR="005000CC">
        <w:rPr>
          <w:i/>
          <w:iCs/>
        </w:rPr>
        <w:t xml:space="preserve"> i grupe </w:t>
      </w:r>
      <w:r>
        <w:rPr>
          <w:i/>
          <w:iCs/>
        </w:rPr>
        <w:t>neovisnih stručnjaka, u namjeri poticanja potrebnih reformi, ubrzavanja investicija i stvaranja uvjeta za održivi gospodarski razvoj u skladu s EU Zelenim planom.</w:t>
      </w:r>
      <w:r w:rsidR="00B008BE">
        <w:rPr>
          <w:i/>
          <w:iCs/>
        </w:rPr>
        <w:t xml:space="preserve"> </w:t>
      </w:r>
      <w:r w:rsidRPr="00E77F10">
        <w:rPr>
          <w:i/>
          <w:iCs/>
        </w:rPr>
        <w:t>Ciljevi ovog dokumenta su dati smjernice u sljedećem smislu:</w:t>
      </w:r>
    </w:p>
    <w:p w14:paraId="5C664A07" w14:textId="77777777" w:rsidR="00F16494" w:rsidRDefault="00F16494" w:rsidP="00F16494">
      <w:pPr>
        <w:rPr>
          <w:rFonts w:eastAsia="Times New Roman"/>
          <w:i/>
          <w:iCs/>
        </w:rPr>
      </w:pPr>
      <w:r w:rsidRPr="004635B4">
        <w:rPr>
          <w:rFonts w:eastAsia="Times New Roman"/>
          <w:i/>
          <w:iCs/>
        </w:rPr>
        <w:t>-</w:t>
      </w:r>
      <w:r>
        <w:rPr>
          <w:rFonts w:eastAsia="Times New Roman"/>
          <w:i/>
          <w:iCs/>
        </w:rPr>
        <w:t xml:space="preserve"> </w:t>
      </w:r>
      <w:r w:rsidRPr="00A17D58">
        <w:rPr>
          <w:rFonts w:eastAsia="Times New Roman"/>
          <w:b/>
          <w:bCs/>
          <w:i/>
          <w:iCs/>
        </w:rPr>
        <w:t>Kako definirati novi model razvoja Republike Hrvatske?</w:t>
      </w:r>
      <w:r>
        <w:rPr>
          <w:rFonts w:eastAsia="Times New Roman"/>
          <w:i/>
          <w:iCs/>
        </w:rPr>
        <w:t xml:space="preserve"> U kontekstu Europskog zelenog plana predložen je okvir i odrednice novog modela razvoja za Republiku Hrvatsku;</w:t>
      </w:r>
    </w:p>
    <w:p w14:paraId="5B32E527" w14:textId="77777777" w:rsidR="00F16494" w:rsidRDefault="00F16494" w:rsidP="00F16494">
      <w:pPr>
        <w:rPr>
          <w:rFonts w:eastAsia="Times New Roman"/>
          <w:i/>
          <w:iCs/>
        </w:rPr>
      </w:pPr>
      <w:r>
        <w:rPr>
          <w:rFonts w:eastAsia="Times New Roman"/>
          <w:i/>
          <w:iCs/>
        </w:rPr>
        <w:t xml:space="preserve">- </w:t>
      </w:r>
      <w:r w:rsidRPr="00A17D58">
        <w:rPr>
          <w:rFonts w:eastAsia="Times New Roman"/>
          <w:b/>
          <w:bCs/>
          <w:i/>
          <w:iCs/>
        </w:rPr>
        <w:t>Kako planirati i ostvariti viziju?</w:t>
      </w:r>
      <w:r>
        <w:rPr>
          <w:rFonts w:eastAsia="Times New Roman"/>
          <w:i/>
          <w:iCs/>
        </w:rPr>
        <w:t xml:space="preserve"> Predloženi su vrlo konkretni koraci odnosno aktivnosti kroz koje je moguće ostvarenje vizije;</w:t>
      </w:r>
    </w:p>
    <w:p w14:paraId="4A8DF79D" w14:textId="77777777" w:rsidR="00F16494" w:rsidRPr="004635B4" w:rsidRDefault="00F16494" w:rsidP="00F16494">
      <w:pPr>
        <w:rPr>
          <w:rFonts w:eastAsia="Times New Roman"/>
          <w:i/>
          <w:iCs/>
          <w:lang w:val="en-US"/>
        </w:rPr>
      </w:pPr>
      <w:r>
        <w:rPr>
          <w:rFonts w:eastAsia="Times New Roman"/>
          <w:i/>
          <w:iCs/>
        </w:rPr>
        <w:t xml:space="preserve">- </w:t>
      </w:r>
      <w:r w:rsidRPr="00A17D58">
        <w:rPr>
          <w:rFonts w:eastAsia="Times New Roman"/>
          <w:b/>
          <w:bCs/>
          <w:i/>
          <w:iCs/>
        </w:rPr>
        <w:t>Kako ostvariti suradnju javnog i privatnog sektora na učinkovit i transparentan način?</w:t>
      </w:r>
      <w:r>
        <w:rPr>
          <w:rFonts w:eastAsia="Times New Roman"/>
          <w:i/>
          <w:iCs/>
        </w:rPr>
        <w:t xml:space="preserve"> Dani su odgovori na pitanja kako financirati ostvarenje vizije i kako potaknuti interes privatnog poduzetništva za ulaganja u zelene projekte.</w:t>
      </w:r>
    </w:p>
    <w:p w14:paraId="7DF60360" w14:textId="250FFC86" w:rsidR="00F16494" w:rsidRDefault="00F16494" w:rsidP="00F16494">
      <w:pPr>
        <w:rPr>
          <w:i/>
          <w:iCs/>
        </w:rPr>
      </w:pPr>
    </w:p>
    <w:p w14:paraId="71576EE7" w14:textId="77777777" w:rsidR="001C0408" w:rsidRDefault="001C0408" w:rsidP="00F16494">
      <w:pPr>
        <w:rPr>
          <w:i/>
          <w:iCs/>
        </w:rPr>
      </w:pPr>
    </w:p>
    <w:p w14:paraId="61EC6266" w14:textId="77777777" w:rsidR="00F16494" w:rsidRPr="00660565" w:rsidRDefault="00F16494" w:rsidP="00F16494">
      <w:pPr>
        <w:rPr>
          <w:i/>
          <w:iCs/>
        </w:rPr>
      </w:pPr>
    </w:p>
    <w:p w14:paraId="4487CBE1" w14:textId="036498A5" w:rsidR="00F16494" w:rsidRPr="001C0408" w:rsidRDefault="003C6CE0" w:rsidP="00F16494">
      <w:pPr>
        <w:rPr>
          <w:rFonts w:cs="Times New Roman"/>
          <w:b/>
          <w:bCs/>
          <w:sz w:val="28"/>
          <w:szCs w:val="28"/>
        </w:rPr>
      </w:pPr>
      <w:r>
        <w:rPr>
          <w:rFonts w:cs="Times New Roman"/>
          <w:b/>
          <w:bCs/>
          <w:sz w:val="28"/>
          <w:szCs w:val="28"/>
        </w:rPr>
        <w:t xml:space="preserve">1. </w:t>
      </w:r>
      <w:r w:rsidR="00F16494" w:rsidRPr="001C0408">
        <w:rPr>
          <w:rFonts w:cs="Times New Roman"/>
          <w:b/>
          <w:bCs/>
          <w:sz w:val="28"/>
          <w:szCs w:val="28"/>
        </w:rPr>
        <w:t>Kako definirati novi model razvoja Republike Hrvatske?</w:t>
      </w:r>
    </w:p>
    <w:p w14:paraId="28A55500" w14:textId="77777777" w:rsidR="00F16494" w:rsidRPr="001C0408" w:rsidRDefault="00F16494" w:rsidP="00F16494">
      <w:pPr>
        <w:jc w:val="both"/>
        <w:rPr>
          <w:rFonts w:cs="Times New Roman"/>
          <w:b/>
          <w:bCs/>
          <w:highlight w:val="cyan"/>
        </w:rPr>
      </w:pPr>
    </w:p>
    <w:p w14:paraId="33DED1AC" w14:textId="6B50A531" w:rsidR="008906F0" w:rsidRDefault="008906F0" w:rsidP="008906F0">
      <w:pPr>
        <w:pStyle w:val="ListParagraph"/>
        <w:numPr>
          <w:ilvl w:val="1"/>
          <w:numId w:val="22"/>
        </w:numPr>
        <w:jc w:val="both"/>
        <w:rPr>
          <w:rFonts w:cs="Times New Roman"/>
          <w:b/>
          <w:bCs/>
        </w:rPr>
      </w:pPr>
      <w:r>
        <w:rPr>
          <w:rFonts w:cs="Times New Roman"/>
          <w:b/>
          <w:bCs/>
        </w:rPr>
        <w:t xml:space="preserve"> Okvir i okruženje za promišljanje </w:t>
      </w:r>
      <w:r w:rsidR="000E7E4A">
        <w:rPr>
          <w:rFonts w:cs="Times New Roman"/>
          <w:b/>
          <w:bCs/>
        </w:rPr>
        <w:t>novog modela razvoja Republike Hrvatske</w:t>
      </w:r>
    </w:p>
    <w:p w14:paraId="0FDE2C75" w14:textId="77777777" w:rsidR="000E7E4A" w:rsidRPr="000E7E4A" w:rsidRDefault="000E7E4A" w:rsidP="000E7E4A">
      <w:pPr>
        <w:jc w:val="both"/>
        <w:rPr>
          <w:rFonts w:cs="Times New Roman"/>
          <w:b/>
          <w:bCs/>
        </w:rPr>
      </w:pPr>
    </w:p>
    <w:p w14:paraId="69BAA7CE" w14:textId="52FC2C30" w:rsidR="00F16494" w:rsidRPr="001C0408" w:rsidRDefault="00F16494" w:rsidP="00F16494">
      <w:pPr>
        <w:jc w:val="both"/>
        <w:rPr>
          <w:rFonts w:cs="Times New Roman"/>
        </w:rPr>
      </w:pPr>
      <w:r w:rsidRPr="3B3D77E7">
        <w:rPr>
          <w:rFonts w:cs="Times New Roman"/>
          <w:b/>
          <w:bCs/>
        </w:rPr>
        <w:t>Europski zeleni plan</w:t>
      </w:r>
      <w:r w:rsidRPr="3B3D77E7">
        <w:rPr>
          <w:rFonts w:cs="Times New Roman"/>
        </w:rPr>
        <w:t xml:space="preserve"> transformira Europu u napredno i moderno društvo temeljeno na resursno učinkovitom gospodarstvu koje će do 2050. godine postići klimatsku neutralnost. Do kraja 2020. godine </w:t>
      </w:r>
      <w:r w:rsidR="00F942D1">
        <w:rPr>
          <w:rFonts w:cs="Times New Roman"/>
        </w:rPr>
        <w:t>trebat će</w:t>
      </w:r>
      <w:r w:rsidRPr="3B3D77E7">
        <w:rPr>
          <w:rFonts w:cs="Times New Roman"/>
        </w:rPr>
        <w:t xml:space="preserve"> prenijeti obveze iz </w:t>
      </w:r>
      <w:r w:rsidRPr="3B3D77E7">
        <w:rPr>
          <w:rFonts w:cs="Times New Roman"/>
          <w:b/>
          <w:bCs/>
        </w:rPr>
        <w:t>Europskog klimatskog zakona</w:t>
      </w:r>
      <w:r w:rsidRPr="3B3D77E7">
        <w:rPr>
          <w:rFonts w:cs="Times New Roman"/>
        </w:rPr>
        <w:t>, koji će osigurati da se klimatska neutralnost do 2050. i strategija prilagodbe na učinke klimatskih promjena definiraju kao zakonska obveza</w:t>
      </w:r>
      <w:r w:rsidR="00304553">
        <w:rPr>
          <w:rFonts w:cs="Times New Roman"/>
        </w:rPr>
        <w:t xml:space="preserve"> uz redovito praćenje pro</w:t>
      </w:r>
      <w:r w:rsidR="00B85348">
        <w:rPr>
          <w:rFonts w:cs="Times New Roman"/>
        </w:rPr>
        <w:t>vedbe mjera i njihovu korekciju od 2023. godine</w:t>
      </w:r>
      <w:r w:rsidRPr="3B3D77E7">
        <w:rPr>
          <w:rFonts w:cs="Times New Roman"/>
        </w:rPr>
        <w:t xml:space="preserve">. </w:t>
      </w:r>
    </w:p>
    <w:p w14:paraId="38C47CA0" w14:textId="77777777" w:rsidR="00F16494" w:rsidRPr="001C0408" w:rsidRDefault="00F16494" w:rsidP="00F16494">
      <w:pPr>
        <w:jc w:val="both"/>
        <w:rPr>
          <w:rFonts w:cs="Times New Roman"/>
        </w:rPr>
      </w:pPr>
    </w:p>
    <w:p w14:paraId="64EDEA74" w14:textId="4CB16AAC" w:rsidR="00F16494" w:rsidRDefault="00F16494" w:rsidP="00F16494">
      <w:pPr>
        <w:jc w:val="both"/>
        <w:rPr>
          <w:rFonts w:cs="Times New Roman"/>
        </w:rPr>
      </w:pPr>
      <w:r w:rsidRPr="3B3D77E7">
        <w:rPr>
          <w:rFonts w:cs="Times New Roman"/>
        </w:rPr>
        <w:t xml:space="preserve">Novi financijski paket – Višegodišnji financijski okvir i </w:t>
      </w:r>
      <w:r w:rsidRPr="3B3D77E7">
        <w:rPr>
          <w:rFonts w:cs="Times New Roman"/>
          <w:b/>
          <w:bCs/>
        </w:rPr>
        <w:t>Next Generation EU,</w:t>
      </w:r>
      <w:r w:rsidRPr="3B3D77E7">
        <w:rPr>
          <w:rFonts w:cs="Times New Roman"/>
        </w:rPr>
        <w:t xml:space="preserve"> prilika je za financiranje razvoja održivog gospodarstva i stavljanje naglaska na zelenu i digitalnu tranziciju u okviru nove europske </w:t>
      </w:r>
      <w:r w:rsidRPr="3B3D77E7">
        <w:rPr>
          <w:rFonts w:cs="Times New Roman"/>
          <w:b/>
          <w:bCs/>
        </w:rPr>
        <w:t xml:space="preserve">Industrijske strategije </w:t>
      </w:r>
      <w:r w:rsidRPr="3B3D77E7">
        <w:rPr>
          <w:rFonts w:cs="Times New Roman"/>
        </w:rPr>
        <w:t xml:space="preserve">i </w:t>
      </w:r>
      <w:r w:rsidRPr="3B3D77E7">
        <w:rPr>
          <w:rFonts w:cs="Times New Roman"/>
          <w:b/>
          <w:bCs/>
        </w:rPr>
        <w:t>Akcijskog plana za kružno gospodarstvo</w:t>
      </w:r>
      <w:r w:rsidRPr="3B3D77E7">
        <w:rPr>
          <w:rFonts w:cs="Times New Roman"/>
        </w:rPr>
        <w:t>. Europ</w:t>
      </w:r>
      <w:r w:rsidR="00937599" w:rsidRPr="3B3D77E7">
        <w:rPr>
          <w:rFonts w:cs="Times New Roman"/>
        </w:rPr>
        <w:t>s</w:t>
      </w:r>
      <w:r w:rsidRPr="3B3D77E7">
        <w:rPr>
          <w:rFonts w:cs="Times New Roman"/>
        </w:rPr>
        <w:t xml:space="preserve">ka komisija će primjenjivati regulativu povezanu s energetskim performansama u zgradarstvu, transportu i mobilnosti, proizvodnji hrane, očuvanju biološke raznolikosti te sprečavanja zagađenja prirode kemikalijama prvenstveno u proizvodnji hrane. </w:t>
      </w:r>
    </w:p>
    <w:p w14:paraId="4D562F23" w14:textId="77777777" w:rsidR="00CC291A" w:rsidRDefault="00CC291A" w:rsidP="00F16494">
      <w:pPr>
        <w:jc w:val="both"/>
        <w:rPr>
          <w:rFonts w:cs="Times New Roman"/>
        </w:rPr>
      </w:pPr>
    </w:p>
    <w:p w14:paraId="1506F802" w14:textId="1EB08BDC" w:rsidR="00CC291A" w:rsidRPr="00CC291A" w:rsidRDefault="00CC291A" w:rsidP="00CC291A">
      <w:pPr>
        <w:jc w:val="both"/>
        <w:rPr>
          <w:rFonts w:cs="Times New Roman"/>
        </w:rPr>
      </w:pPr>
      <w:r w:rsidRPr="0F48A150">
        <w:rPr>
          <w:rFonts w:cs="Times New Roman"/>
        </w:rPr>
        <w:t xml:space="preserve">Nedavno usvojena </w:t>
      </w:r>
      <w:r w:rsidRPr="0F48A150">
        <w:rPr>
          <w:rFonts w:cs="Times New Roman"/>
          <w:b/>
          <w:bCs/>
        </w:rPr>
        <w:t>Uredba o EU taksonomiji</w:t>
      </w:r>
      <w:r w:rsidRPr="0F48A150">
        <w:rPr>
          <w:rFonts w:cs="Times New Roman"/>
        </w:rPr>
        <w:t xml:space="preserve"> donosi stroge kriterije ocjenjivanja projekata u odnosu na utjecaj koji imaju na održivost. Kriteriji su - sprečavanje klimatskih promjena, </w:t>
      </w:r>
      <w:r w:rsidRPr="0F48A150">
        <w:rPr>
          <w:rFonts w:cs="Times New Roman"/>
        </w:rPr>
        <w:lastRenderedPageBreak/>
        <w:t xml:space="preserve">prilagodba učincima klimatskih promjena, kružno gospodarstvo, sprečavanje zagađenja, održiva uporaba vode i morskih resursa te zdravi ekosustavi. EU taksonomija je uredba koja ima jedan od najznačajnijih utjecaja na razvoj održivog financiranja i imat će značajne implikacije na sve investicije u EU, i šire. Projekti </w:t>
      </w:r>
      <w:r w:rsidR="00840CF4">
        <w:rPr>
          <w:rFonts w:cs="Times New Roman"/>
        </w:rPr>
        <w:t xml:space="preserve">koji će se isporučiti u programskom razdoblju 2021-2027. trebali bi biti </w:t>
      </w:r>
      <w:r w:rsidR="00E0667E">
        <w:rPr>
          <w:rFonts w:cs="Times New Roman"/>
        </w:rPr>
        <w:t>društveno opravdani, ekonoms</w:t>
      </w:r>
      <w:r w:rsidR="00C37238">
        <w:rPr>
          <w:rFonts w:cs="Times New Roman"/>
        </w:rPr>
        <w:t>k</w:t>
      </w:r>
      <w:r w:rsidR="00E0667E">
        <w:rPr>
          <w:rFonts w:cs="Times New Roman"/>
        </w:rPr>
        <w:t>i racionalni, financijski održivi, uključivi, priuštivi i skalabilni</w:t>
      </w:r>
      <w:r w:rsidR="00905319">
        <w:rPr>
          <w:rFonts w:cs="Times New Roman"/>
        </w:rPr>
        <w:t xml:space="preserve">, a </w:t>
      </w:r>
      <w:r w:rsidRPr="0F48A150">
        <w:rPr>
          <w:rFonts w:cs="Times New Roman"/>
        </w:rPr>
        <w:t xml:space="preserve">prije ulaska u sustav održivog financiranja </w:t>
      </w:r>
      <w:r w:rsidR="00905319">
        <w:rPr>
          <w:rFonts w:cs="Times New Roman"/>
        </w:rPr>
        <w:t xml:space="preserve">trbaju se </w:t>
      </w:r>
      <w:r w:rsidRPr="0F48A150">
        <w:rPr>
          <w:rFonts w:cs="Times New Roman"/>
        </w:rPr>
        <w:t>evaluirati te mora</w:t>
      </w:r>
      <w:r w:rsidR="00905319">
        <w:rPr>
          <w:rFonts w:cs="Times New Roman"/>
        </w:rPr>
        <w:t xml:space="preserve">ju </w:t>
      </w:r>
      <w:r w:rsidRPr="0F48A150">
        <w:rPr>
          <w:rFonts w:cs="Times New Roman"/>
        </w:rPr>
        <w:t>zadovoljiti slijedeća tri kriterija</w:t>
      </w:r>
      <w:r w:rsidR="001360F3">
        <w:rPr>
          <w:rFonts w:cs="Times New Roman"/>
        </w:rPr>
        <w:t xml:space="preserve"> (sukladno UN-ovim ciljevima održivog razvoja)</w:t>
      </w:r>
      <w:r w:rsidRPr="0F48A150">
        <w:rPr>
          <w:rFonts w:cs="Times New Roman"/>
        </w:rPr>
        <w:t xml:space="preserve">: </w:t>
      </w:r>
    </w:p>
    <w:p w14:paraId="47653041" w14:textId="77777777" w:rsidR="00CC291A" w:rsidRPr="00CC291A" w:rsidRDefault="00CC291A" w:rsidP="00CC291A">
      <w:pPr>
        <w:numPr>
          <w:ilvl w:val="0"/>
          <w:numId w:val="23"/>
        </w:numPr>
        <w:jc w:val="both"/>
        <w:rPr>
          <w:rFonts w:cs="Times New Roman"/>
        </w:rPr>
      </w:pPr>
      <w:r w:rsidRPr="00CC291A">
        <w:rPr>
          <w:rFonts w:cs="Times New Roman"/>
        </w:rPr>
        <w:t xml:space="preserve">Značajan doprinos barem jednom od šest definiranih okolišnih tema; </w:t>
      </w:r>
    </w:p>
    <w:p w14:paraId="0FF90B0D" w14:textId="77777777" w:rsidR="00CC291A" w:rsidRPr="00CC291A" w:rsidRDefault="00CC291A" w:rsidP="00CC291A">
      <w:pPr>
        <w:numPr>
          <w:ilvl w:val="0"/>
          <w:numId w:val="23"/>
        </w:numPr>
        <w:jc w:val="both"/>
        <w:rPr>
          <w:rFonts w:cs="Times New Roman"/>
        </w:rPr>
      </w:pPr>
      <w:r w:rsidRPr="00CC291A">
        <w:rPr>
          <w:rFonts w:cs="Times New Roman"/>
        </w:rPr>
        <w:t xml:space="preserve">Nemati negativan utjecaj niti na jednu od preostalih pet okolišno klimatskih tema; </w:t>
      </w:r>
    </w:p>
    <w:p w14:paraId="6029B89A" w14:textId="77777777" w:rsidR="00CC291A" w:rsidRPr="00CC291A" w:rsidRDefault="00CC291A" w:rsidP="00CC291A">
      <w:pPr>
        <w:numPr>
          <w:ilvl w:val="0"/>
          <w:numId w:val="23"/>
        </w:numPr>
        <w:jc w:val="both"/>
        <w:rPr>
          <w:rFonts w:cs="Times New Roman"/>
        </w:rPr>
      </w:pPr>
      <w:r w:rsidRPr="00CC291A">
        <w:rPr>
          <w:rFonts w:cs="Times New Roman"/>
        </w:rPr>
        <w:t xml:space="preserve">Imati integriran barem minimum društvene zaštite. </w:t>
      </w:r>
    </w:p>
    <w:p w14:paraId="4C09697E" w14:textId="77777777" w:rsidR="00CC291A" w:rsidRPr="001C0408" w:rsidRDefault="00CC291A" w:rsidP="00F16494">
      <w:pPr>
        <w:jc w:val="both"/>
        <w:rPr>
          <w:rFonts w:cs="Times New Roman"/>
        </w:rPr>
      </w:pPr>
    </w:p>
    <w:p w14:paraId="6DBDA97F" w14:textId="75F242D2" w:rsidR="00F16494" w:rsidRPr="001C0408" w:rsidRDefault="00F16494" w:rsidP="00F16494">
      <w:pPr>
        <w:jc w:val="both"/>
        <w:rPr>
          <w:rFonts w:cs="Times New Roman"/>
        </w:rPr>
      </w:pPr>
      <w:r w:rsidRPr="3B3D77E7">
        <w:rPr>
          <w:rFonts w:cs="Times New Roman"/>
        </w:rPr>
        <w:t>Vlade Republike Hrvatske (dalje: Vlada RH) trebala bi potaknuti razvoj industrije koja stvara novu vrijednost utemelj</w:t>
      </w:r>
      <w:r w:rsidR="00CC291A" w:rsidRPr="3B3D77E7">
        <w:rPr>
          <w:rFonts w:cs="Times New Roman"/>
        </w:rPr>
        <w:t>e</w:t>
      </w:r>
      <w:r w:rsidRPr="3B3D77E7">
        <w:rPr>
          <w:rFonts w:cs="Times New Roman"/>
        </w:rPr>
        <w:t xml:space="preserve">nu na energetskoj učinkovitosti i novim tehnologijama. To je prigoda da se rast bruto domaćeg proizvoda odvoji od rasta potrošnje energije i resursa i, na taj način, bitno poveća energetska </w:t>
      </w:r>
      <w:r w:rsidR="5798E5C4" w:rsidRPr="3B3D77E7">
        <w:rPr>
          <w:rFonts w:cs="Times New Roman"/>
        </w:rPr>
        <w:t>učinkovitost</w:t>
      </w:r>
      <w:r w:rsidRPr="3B3D77E7">
        <w:rPr>
          <w:rFonts w:cs="Times New Roman"/>
        </w:rPr>
        <w:t>, čime će se stvoriti uvjeti za dugoročan napredak Republike Hrvatske uz očuvanje resursa, okoliša i ekonomskih i društvenih aktivnosti koje o njima ovise.</w:t>
      </w:r>
    </w:p>
    <w:p w14:paraId="201C6FD0" w14:textId="77777777" w:rsidR="00F16494" w:rsidRPr="00035D51" w:rsidRDefault="00F16494" w:rsidP="00F16494">
      <w:pPr>
        <w:jc w:val="both"/>
        <w:rPr>
          <w:rFonts w:cs="Times New Roman"/>
          <w:szCs w:val="24"/>
        </w:rPr>
      </w:pPr>
    </w:p>
    <w:p w14:paraId="7DFA5002" w14:textId="77777777" w:rsidR="00F16494" w:rsidRPr="00035D51" w:rsidRDefault="00F16494" w:rsidP="00F16494">
      <w:pPr>
        <w:jc w:val="both"/>
        <w:rPr>
          <w:rFonts w:cs="Times New Roman"/>
          <w:szCs w:val="24"/>
          <w:highlight w:val="cyan"/>
        </w:rPr>
      </w:pPr>
    </w:p>
    <w:p w14:paraId="06DC4794" w14:textId="04505D67" w:rsidR="00F16494" w:rsidRPr="000E7E4A" w:rsidRDefault="000E7E4A" w:rsidP="000E7E4A">
      <w:pPr>
        <w:pStyle w:val="ListParagraph"/>
        <w:numPr>
          <w:ilvl w:val="1"/>
          <w:numId w:val="22"/>
        </w:numPr>
        <w:rPr>
          <w:rFonts w:cs="Times New Roman"/>
          <w:b/>
          <w:bCs/>
          <w:szCs w:val="24"/>
        </w:rPr>
      </w:pPr>
      <w:r>
        <w:rPr>
          <w:rFonts w:cs="Times New Roman"/>
          <w:b/>
          <w:bCs/>
          <w:szCs w:val="24"/>
        </w:rPr>
        <w:t xml:space="preserve"> </w:t>
      </w:r>
      <w:r w:rsidR="00F16494" w:rsidRPr="000E7E4A">
        <w:rPr>
          <w:rFonts w:cs="Times New Roman"/>
          <w:b/>
          <w:bCs/>
          <w:szCs w:val="24"/>
        </w:rPr>
        <w:t>Koji strateški i provedbeni okvir nedostaje Hrvatskoj?</w:t>
      </w:r>
    </w:p>
    <w:p w14:paraId="4BB2AD24" w14:textId="77777777" w:rsidR="00F16494" w:rsidRPr="00035D51" w:rsidRDefault="00F16494" w:rsidP="00F16494">
      <w:pPr>
        <w:jc w:val="both"/>
        <w:rPr>
          <w:rFonts w:cs="Times New Roman"/>
          <w:szCs w:val="24"/>
          <w:highlight w:val="cyan"/>
        </w:rPr>
      </w:pPr>
    </w:p>
    <w:p w14:paraId="20A916A5" w14:textId="54A8BE8E" w:rsidR="00F16494" w:rsidRPr="00035D51" w:rsidRDefault="00F16494" w:rsidP="00F16494">
      <w:pPr>
        <w:pStyle w:val="PlainText"/>
        <w:jc w:val="both"/>
        <w:rPr>
          <w:rFonts w:ascii="Times New Roman" w:hAnsi="Times New Roman" w:cs="Times New Roman"/>
          <w:sz w:val="24"/>
          <w:szCs w:val="24"/>
        </w:rPr>
      </w:pPr>
      <w:r w:rsidRPr="3B3D77E7">
        <w:rPr>
          <w:rFonts w:ascii="Times New Roman" w:hAnsi="Times New Roman" w:cs="Times New Roman"/>
          <w:sz w:val="24"/>
          <w:szCs w:val="24"/>
        </w:rPr>
        <w:t xml:space="preserve">Kako bi bila spremna iskoristiti sredstva koja će biti na raspolaganju, Republika Hrvatska mora žurno usvojiti ambicioznu </w:t>
      </w:r>
      <w:r w:rsidRPr="3B3D77E7">
        <w:rPr>
          <w:rFonts w:ascii="Times New Roman" w:hAnsi="Times New Roman" w:cs="Times New Roman"/>
          <w:b/>
          <w:bCs/>
          <w:sz w:val="24"/>
          <w:szCs w:val="24"/>
        </w:rPr>
        <w:t>Nacionalnu razvojnu strategiju – Hrvatska 2030</w:t>
      </w:r>
      <w:r w:rsidRPr="3B3D77E7">
        <w:rPr>
          <w:rFonts w:ascii="Times New Roman" w:hAnsi="Times New Roman" w:cs="Times New Roman"/>
          <w:sz w:val="24"/>
          <w:szCs w:val="24"/>
        </w:rPr>
        <w:t>, koja će se temeljiti na klimatskoj neutralnosti do 2050. godine i ciljevima održivog razvoja</w:t>
      </w:r>
      <w:r w:rsidR="00BB7ABF">
        <w:rPr>
          <w:rFonts w:ascii="Times New Roman" w:hAnsi="Times New Roman" w:cs="Times New Roman"/>
          <w:sz w:val="24"/>
          <w:szCs w:val="24"/>
        </w:rPr>
        <w:t xml:space="preserve"> s fokusom na jačanje domaće proizvodnje (</w:t>
      </w:r>
      <w:r w:rsidR="00860567">
        <w:rPr>
          <w:rFonts w:ascii="Times New Roman" w:hAnsi="Times New Roman" w:cs="Times New Roman"/>
          <w:sz w:val="24"/>
          <w:szCs w:val="24"/>
        </w:rPr>
        <w:t>poljoprivreda, industrija, energetika i sl.)</w:t>
      </w:r>
      <w:r w:rsidRPr="3B3D77E7">
        <w:rPr>
          <w:rFonts w:ascii="Times New Roman" w:hAnsi="Times New Roman" w:cs="Times New Roman"/>
          <w:sz w:val="24"/>
          <w:szCs w:val="24"/>
        </w:rPr>
        <w:t xml:space="preserve">. Ciljeve Strategije treba integrirati u sektorske strategije i operativne planove kako bi se osigurala horizontalna povezanost i koordinirana akcija. </w:t>
      </w:r>
    </w:p>
    <w:p w14:paraId="11D6863F" w14:textId="77777777" w:rsidR="00F16494" w:rsidRPr="00035D51" w:rsidRDefault="00F16494" w:rsidP="00F16494">
      <w:pPr>
        <w:pStyle w:val="PlainText"/>
        <w:jc w:val="both"/>
        <w:rPr>
          <w:rFonts w:ascii="Times New Roman" w:hAnsi="Times New Roman" w:cs="Times New Roman"/>
          <w:sz w:val="24"/>
          <w:szCs w:val="24"/>
        </w:rPr>
      </w:pPr>
    </w:p>
    <w:p w14:paraId="6DE8CB3E" w14:textId="7E56BE8E" w:rsidR="00F16494" w:rsidRPr="00035D51" w:rsidRDefault="00F16494" w:rsidP="00F16494">
      <w:pPr>
        <w:pStyle w:val="PlainText"/>
        <w:jc w:val="both"/>
        <w:rPr>
          <w:rFonts w:ascii="Times New Roman" w:hAnsi="Times New Roman" w:cs="Times New Roman"/>
          <w:sz w:val="24"/>
          <w:szCs w:val="24"/>
        </w:rPr>
      </w:pPr>
      <w:r w:rsidRPr="3B3D77E7">
        <w:rPr>
          <w:rFonts w:ascii="Times New Roman" w:hAnsi="Times New Roman" w:cs="Times New Roman"/>
          <w:sz w:val="24"/>
          <w:szCs w:val="24"/>
        </w:rPr>
        <w:t xml:space="preserve">Neki od ključnih dokumenata koji moraju biti usklađeni s novom europskom agendom su </w:t>
      </w:r>
      <w:r w:rsidRPr="3B3D77E7">
        <w:rPr>
          <w:rFonts w:ascii="Times New Roman" w:hAnsi="Times New Roman" w:cs="Times New Roman"/>
          <w:b/>
          <w:bCs/>
          <w:sz w:val="24"/>
          <w:szCs w:val="24"/>
        </w:rPr>
        <w:t>Nacionalni energetski i klimatski plan</w:t>
      </w:r>
      <w:r w:rsidRPr="3B3D77E7">
        <w:rPr>
          <w:rFonts w:ascii="Times New Roman" w:hAnsi="Times New Roman" w:cs="Times New Roman"/>
          <w:sz w:val="24"/>
          <w:szCs w:val="24"/>
        </w:rPr>
        <w:t xml:space="preserve"> (NECP) te </w:t>
      </w:r>
      <w:r w:rsidRPr="3B3D77E7">
        <w:rPr>
          <w:rFonts w:ascii="Times New Roman" w:hAnsi="Times New Roman" w:cs="Times New Roman"/>
          <w:b/>
          <w:bCs/>
          <w:sz w:val="24"/>
          <w:szCs w:val="24"/>
        </w:rPr>
        <w:t>Dugoročna niskougljična strategija</w:t>
      </w:r>
      <w:r w:rsidRPr="3B3D77E7">
        <w:rPr>
          <w:rFonts w:ascii="Times New Roman" w:hAnsi="Times New Roman" w:cs="Times New Roman"/>
          <w:sz w:val="24"/>
          <w:szCs w:val="24"/>
        </w:rPr>
        <w:t xml:space="preserve"> (NUS). Osobitu pozornost treba usmjeriti na kvalitetu pripreme pojedinačnih projekata i izradu plana projekata. Naučene lekcije iz financijskog razdoblja na izmaku bile bi od koristi svim korisnicima te ih kroz ključne dokumente treba predstaviti radi ubrzavanja provedbe dobrih projekata, osobito onih s izraženom inovacijskom i istraživačkom komponentom. Kroz spomenute dokumente također treba komunicirati jasnu gospodarsku i energetsko-klimatsku viziju koja će pomoći koordinaciju energetskog, znanstveno-istraživačkog sektora, sektora poduzeća, inovatora, ulagača i građana. Zajednička vizija i koordinacija nužan su uvjet brzog oporavka temeljenog na novim tehnološkim rješenjima, umjesto povratka na staro uz spor napredak, niske ambicije i prevlast neusklađenih politika. </w:t>
      </w:r>
    </w:p>
    <w:p w14:paraId="16C9F7BF" w14:textId="77777777" w:rsidR="00F16494" w:rsidRPr="00035D51" w:rsidRDefault="00F16494" w:rsidP="00F16494">
      <w:pPr>
        <w:pStyle w:val="PlainText"/>
        <w:jc w:val="both"/>
        <w:rPr>
          <w:rFonts w:ascii="Times New Roman" w:hAnsi="Times New Roman" w:cs="Times New Roman"/>
          <w:sz w:val="24"/>
          <w:szCs w:val="24"/>
        </w:rPr>
      </w:pPr>
    </w:p>
    <w:p w14:paraId="5D32155B" w14:textId="77777777" w:rsidR="00F16494" w:rsidRPr="00035D51" w:rsidRDefault="00F16494" w:rsidP="00F16494">
      <w:pPr>
        <w:jc w:val="both"/>
        <w:rPr>
          <w:rFonts w:cs="Times New Roman"/>
          <w:b/>
          <w:bCs/>
          <w:szCs w:val="24"/>
          <w:highlight w:val="green"/>
        </w:rPr>
      </w:pPr>
    </w:p>
    <w:p w14:paraId="656A1C06" w14:textId="63939370" w:rsidR="00F16494" w:rsidRPr="000E7E4A" w:rsidRDefault="000E7E4A" w:rsidP="000E7E4A">
      <w:pPr>
        <w:pStyle w:val="ListParagraph"/>
        <w:numPr>
          <w:ilvl w:val="1"/>
          <w:numId w:val="22"/>
        </w:numPr>
        <w:jc w:val="both"/>
        <w:rPr>
          <w:rFonts w:cs="Times New Roman"/>
          <w:b/>
          <w:bCs/>
          <w:szCs w:val="24"/>
        </w:rPr>
      </w:pPr>
      <w:r>
        <w:rPr>
          <w:rFonts w:cs="Times New Roman"/>
          <w:b/>
          <w:bCs/>
          <w:szCs w:val="24"/>
        </w:rPr>
        <w:t xml:space="preserve"> </w:t>
      </w:r>
      <w:r w:rsidR="00F16494" w:rsidRPr="000E7E4A">
        <w:rPr>
          <w:rFonts w:cs="Times New Roman"/>
          <w:b/>
          <w:bCs/>
          <w:szCs w:val="24"/>
        </w:rPr>
        <w:t>Odrednice novog modela razvoja</w:t>
      </w:r>
    </w:p>
    <w:p w14:paraId="32C1F576" w14:textId="77777777" w:rsidR="00F16494" w:rsidRPr="00035D51" w:rsidRDefault="00F16494" w:rsidP="00F16494">
      <w:pPr>
        <w:jc w:val="both"/>
        <w:rPr>
          <w:rFonts w:cs="Times New Roman"/>
          <w:b/>
          <w:bCs/>
          <w:szCs w:val="24"/>
        </w:rPr>
      </w:pPr>
    </w:p>
    <w:p w14:paraId="55F27D31" w14:textId="77777777" w:rsidR="00F16494" w:rsidRPr="001C0408" w:rsidRDefault="00F16494" w:rsidP="00F16494">
      <w:pPr>
        <w:jc w:val="both"/>
        <w:rPr>
          <w:rFonts w:cs="Times New Roman"/>
        </w:rPr>
      </w:pPr>
      <w:r w:rsidRPr="001C0408">
        <w:rPr>
          <w:rFonts w:cs="Times New Roman"/>
          <w:bCs/>
        </w:rPr>
        <w:t xml:space="preserve">U Republici Hrvatskoj je, uz ostale reforme, nužna i promjena pristupa gospodarskom rastu i razvoju u cilju stvaranja </w:t>
      </w:r>
      <w:r w:rsidRPr="001C0408">
        <w:rPr>
          <w:rFonts w:cs="Times New Roman"/>
          <w:b/>
        </w:rPr>
        <w:t>uključivog i okolišno održivog rasta</w:t>
      </w:r>
      <w:r w:rsidRPr="001C0408">
        <w:rPr>
          <w:rFonts w:cs="Times New Roman"/>
          <w:bCs/>
        </w:rPr>
        <w:t>. Gospodarske promjene ovise o investicijama, a zeleno gospodarstvo može biti njihov važan pokretač</w:t>
      </w:r>
      <w:r w:rsidRPr="001C0408">
        <w:rPr>
          <w:rFonts w:cs="Times New Roman"/>
        </w:rPr>
        <w:t>. U tom kontekstu treba:</w:t>
      </w:r>
    </w:p>
    <w:p w14:paraId="52B9AC06" w14:textId="2A99826F" w:rsidR="00F16494" w:rsidRPr="001C0408" w:rsidRDefault="00F16494" w:rsidP="00F16494">
      <w:pPr>
        <w:pStyle w:val="ListParagraph"/>
        <w:numPr>
          <w:ilvl w:val="0"/>
          <w:numId w:val="20"/>
        </w:numPr>
        <w:spacing w:after="160" w:line="259" w:lineRule="auto"/>
        <w:jc w:val="both"/>
        <w:rPr>
          <w:rFonts w:cs="Times New Roman"/>
        </w:rPr>
      </w:pPr>
      <w:r w:rsidRPr="3B3D77E7">
        <w:rPr>
          <w:rFonts w:cs="Times New Roman"/>
        </w:rPr>
        <w:t>Otvarati sektore i stvarati poticajne uvjete za privlačenje stranih i domaćih privatnih investicija u zeleno gospodarstvo</w:t>
      </w:r>
      <w:r w:rsidR="00D07F54">
        <w:rPr>
          <w:rFonts w:cs="Times New Roman"/>
        </w:rPr>
        <w:t xml:space="preserve"> (npr. održiva poljoprivredna proizvodnja</w:t>
      </w:r>
      <w:r w:rsidR="00F135C3">
        <w:rPr>
          <w:rFonts w:cs="Times New Roman"/>
        </w:rPr>
        <w:t xml:space="preserve"> i sl.)</w:t>
      </w:r>
      <w:r w:rsidRPr="3B3D77E7">
        <w:rPr>
          <w:rFonts w:cs="Times New Roman"/>
        </w:rPr>
        <w:t>,</w:t>
      </w:r>
    </w:p>
    <w:p w14:paraId="3809393F" w14:textId="77777777" w:rsidR="00F16494" w:rsidRPr="001C0408" w:rsidRDefault="00F16494" w:rsidP="00F16494">
      <w:pPr>
        <w:pStyle w:val="ListParagraph"/>
        <w:numPr>
          <w:ilvl w:val="0"/>
          <w:numId w:val="20"/>
        </w:numPr>
        <w:spacing w:after="160" w:line="259" w:lineRule="auto"/>
        <w:jc w:val="both"/>
        <w:rPr>
          <w:rFonts w:cs="Times New Roman"/>
        </w:rPr>
      </w:pPr>
      <w:r w:rsidRPr="001C0408">
        <w:rPr>
          <w:rFonts w:cs="Times New Roman"/>
          <w:bCs/>
        </w:rPr>
        <w:lastRenderedPageBreak/>
        <w:t>Zadržavati tijekove novca i kapitala u Republici Hrvatskoj i lokalno, odnosno razvijati gospodarske aktivnosti s fokusom na kruženje materijala, resursa, energije i prihoda,</w:t>
      </w:r>
    </w:p>
    <w:p w14:paraId="54E60246" w14:textId="77777777" w:rsidR="00F16494" w:rsidRPr="001C0408" w:rsidRDefault="00F16494" w:rsidP="00F16494">
      <w:pPr>
        <w:pStyle w:val="ListParagraph"/>
        <w:numPr>
          <w:ilvl w:val="0"/>
          <w:numId w:val="20"/>
        </w:numPr>
        <w:jc w:val="both"/>
        <w:rPr>
          <w:rFonts w:cs="Times New Roman"/>
          <w:bCs/>
        </w:rPr>
      </w:pPr>
      <w:r w:rsidRPr="001C0408">
        <w:rPr>
          <w:rFonts w:cs="Times New Roman"/>
          <w:bCs/>
        </w:rPr>
        <w:t xml:space="preserve">Razvijati nova znanja, ulagačku i poduzetničku infrastrukturu i servise </w:t>
      </w:r>
      <w:r w:rsidRPr="001C0408">
        <w:rPr>
          <w:rFonts w:cs="Times New Roman"/>
        </w:rPr>
        <w:t xml:space="preserve">(poduzetnički inkubatori, start-up akceleratori, centri izvrsnosti) te bitno unaprijediti </w:t>
      </w:r>
      <w:r w:rsidRPr="001C0408">
        <w:rPr>
          <w:rFonts w:cs="Times New Roman"/>
          <w:bCs/>
        </w:rPr>
        <w:t>suradnju izvršne vlasti i inovativnog dijela društva (koji nije isključivo vezan za akademsku zajednicu).</w:t>
      </w:r>
    </w:p>
    <w:p w14:paraId="16F20FD9" w14:textId="77777777" w:rsidR="00F16494" w:rsidRPr="001C0408" w:rsidRDefault="00F16494" w:rsidP="00F16494">
      <w:pPr>
        <w:pStyle w:val="ListParagraph"/>
        <w:numPr>
          <w:ilvl w:val="0"/>
          <w:numId w:val="20"/>
        </w:numPr>
        <w:jc w:val="both"/>
        <w:rPr>
          <w:rFonts w:cs="Times New Roman"/>
        </w:rPr>
      </w:pPr>
      <w:r w:rsidRPr="001C0408">
        <w:rPr>
          <w:rFonts w:cs="Times New Roman"/>
        </w:rPr>
        <w:t>Poticati mala i srednja poduzeća kao motore razvoja uz njihova značajna rasterećenja;</w:t>
      </w:r>
    </w:p>
    <w:p w14:paraId="72493136" w14:textId="77777777" w:rsidR="005332E9" w:rsidRPr="005332E9" w:rsidRDefault="00F16494" w:rsidP="00F16494">
      <w:pPr>
        <w:pStyle w:val="ListParagraph"/>
        <w:numPr>
          <w:ilvl w:val="0"/>
          <w:numId w:val="20"/>
        </w:numPr>
        <w:jc w:val="both"/>
        <w:rPr>
          <w:rFonts w:cs="Times New Roman"/>
          <w:bCs/>
        </w:rPr>
      </w:pPr>
      <w:r w:rsidRPr="001C0408">
        <w:rPr>
          <w:rFonts w:cs="Times New Roman"/>
        </w:rPr>
        <w:t>Uvesti modele procjene i stimuliranja projekata s obzirom na klimatski otisak.</w:t>
      </w:r>
    </w:p>
    <w:p w14:paraId="0BA59C4E" w14:textId="77777777" w:rsidR="005332E9" w:rsidRDefault="005332E9" w:rsidP="005332E9">
      <w:pPr>
        <w:jc w:val="both"/>
        <w:rPr>
          <w:rFonts w:cs="Times New Roman"/>
          <w:bCs/>
        </w:rPr>
      </w:pPr>
    </w:p>
    <w:p w14:paraId="5D9D1F5D" w14:textId="791CF841" w:rsidR="005332E9" w:rsidRDefault="005332E9" w:rsidP="005332E9">
      <w:pPr>
        <w:jc w:val="both"/>
        <w:rPr>
          <w:rFonts w:cs="Times New Roman"/>
          <w:bCs/>
        </w:rPr>
      </w:pPr>
    </w:p>
    <w:p w14:paraId="676CDAE9" w14:textId="77777777" w:rsidR="00566444" w:rsidRDefault="00566444" w:rsidP="005332E9">
      <w:pPr>
        <w:jc w:val="both"/>
        <w:rPr>
          <w:rFonts w:cs="Times New Roman"/>
          <w:bCs/>
        </w:rPr>
      </w:pPr>
    </w:p>
    <w:p w14:paraId="1CE53121" w14:textId="332157F5" w:rsidR="00F16494" w:rsidRPr="000E7E4A" w:rsidRDefault="00F16494" w:rsidP="000E7E4A">
      <w:pPr>
        <w:pStyle w:val="ListParagraph"/>
        <w:numPr>
          <w:ilvl w:val="0"/>
          <w:numId w:val="22"/>
        </w:numPr>
        <w:rPr>
          <w:rFonts w:cs="Times New Roman"/>
          <w:b/>
          <w:bCs/>
          <w:sz w:val="28"/>
          <w:szCs w:val="28"/>
        </w:rPr>
      </w:pPr>
      <w:r w:rsidRPr="000E7E4A">
        <w:rPr>
          <w:rFonts w:cs="Times New Roman"/>
          <w:b/>
          <w:bCs/>
          <w:sz w:val="28"/>
          <w:szCs w:val="28"/>
        </w:rPr>
        <w:t>Kako planirati i ostvariti viziju?</w:t>
      </w:r>
    </w:p>
    <w:p w14:paraId="1F9A8619" w14:textId="77777777" w:rsidR="00F16494" w:rsidRPr="001C0408" w:rsidRDefault="00F16494" w:rsidP="00F16494">
      <w:pPr>
        <w:pStyle w:val="ListParagraph"/>
        <w:rPr>
          <w:rFonts w:cs="Times New Roman"/>
        </w:rPr>
      </w:pPr>
    </w:p>
    <w:p w14:paraId="06172F06" w14:textId="0CE020D1" w:rsidR="00F16494" w:rsidRPr="001C0408" w:rsidRDefault="00F16494" w:rsidP="00F16494">
      <w:pPr>
        <w:jc w:val="both"/>
        <w:rPr>
          <w:rFonts w:cs="Times New Roman"/>
        </w:rPr>
      </w:pPr>
      <w:r w:rsidRPr="3B3D77E7">
        <w:rPr>
          <w:rFonts w:cs="Times New Roman"/>
        </w:rPr>
        <w:t xml:space="preserve">Kako bi ostvarila viziju i postigla identificirane ciljeve, Vlada RH bi u najkraćem mogućem roku, </w:t>
      </w:r>
      <w:r w:rsidR="006913CD">
        <w:rPr>
          <w:rFonts w:cs="Times New Roman"/>
        </w:rPr>
        <w:t>trebala</w:t>
      </w:r>
      <w:r w:rsidRPr="3B3D77E7">
        <w:rPr>
          <w:rFonts w:cs="Times New Roman"/>
        </w:rPr>
        <w:t xml:space="preserve"> poduzeti sljedeće radnje i usvojiti dokumente kako slijedi:</w:t>
      </w:r>
    </w:p>
    <w:p w14:paraId="4273A6A9" w14:textId="77777777" w:rsidR="00F16494" w:rsidRPr="001C0408" w:rsidRDefault="00F16494" w:rsidP="00F16494">
      <w:pPr>
        <w:jc w:val="both"/>
        <w:rPr>
          <w:rFonts w:cs="Times New Roman"/>
        </w:rPr>
      </w:pPr>
    </w:p>
    <w:p w14:paraId="69CD850C" w14:textId="25E3D19E" w:rsidR="00F16494" w:rsidRPr="001C0408" w:rsidRDefault="00F16494" w:rsidP="00F16494">
      <w:pPr>
        <w:jc w:val="both"/>
        <w:rPr>
          <w:rFonts w:cs="Times New Roman"/>
        </w:rPr>
      </w:pPr>
      <w:r w:rsidRPr="0F48A150">
        <w:rPr>
          <w:rFonts w:cs="Times New Roman"/>
        </w:rPr>
        <w:t xml:space="preserve">1. Dopuniti i usvojiti </w:t>
      </w:r>
      <w:r w:rsidRPr="0F48A150">
        <w:rPr>
          <w:rFonts w:cs="Times New Roman"/>
          <w:b/>
          <w:bCs/>
        </w:rPr>
        <w:t>Nacionalnu razvojnu strategiju – Hrvatska 2030</w:t>
      </w:r>
      <w:r w:rsidRPr="0F48A150">
        <w:rPr>
          <w:rFonts w:cs="Times New Roman"/>
        </w:rPr>
        <w:t xml:space="preserve"> (dalje: NRS2030), kao ključni strateški dokument države do 2030. godine u okviru kojega je potrebno identificirati jasne i nedvosmislene ciljeve, prioritete i projekte koji će doprinijeti postizanju ciljeva Zelenog plana EU-a. NRS2030 mora jasno identificirati poziciju Republike Hrvatske u 2030. godini, </w:t>
      </w:r>
      <w:r w:rsidR="0010328D" w:rsidRPr="0F48A150">
        <w:rPr>
          <w:rFonts w:cs="Times New Roman"/>
        </w:rPr>
        <w:t>uzeti u obzir ciljeve iz Nacionalnog energetskog i klimatskog plana</w:t>
      </w:r>
      <w:r w:rsidR="003845F2" w:rsidRPr="0F48A150">
        <w:rPr>
          <w:rFonts w:cs="Times New Roman"/>
        </w:rPr>
        <w:t>,</w:t>
      </w:r>
      <w:r w:rsidR="0010328D" w:rsidRPr="0F48A150">
        <w:rPr>
          <w:rFonts w:cs="Times New Roman"/>
        </w:rPr>
        <w:t xml:space="preserve"> </w:t>
      </w:r>
      <w:r w:rsidRPr="0F48A150">
        <w:rPr>
          <w:rFonts w:cs="Times New Roman"/>
        </w:rPr>
        <w:t>kao i predstavljati temelj za operativno programiranje za financiranje projekata u financijskoj perspektivi 2021. – 2027. Osim fondova EU-a koji predstavljaju jedan izvor financiranja, Republika Hrvatska mora otvoriti i druge načine financiranja projekata i operacija koje doprinose ispunjenju ciljeva NRS2030, zbog čega je potrebno provesti konzultacije sa svim zainteresiranim dionicima.</w:t>
      </w:r>
    </w:p>
    <w:p w14:paraId="0C760D88" w14:textId="77777777" w:rsidR="00F16494" w:rsidRPr="001C0408" w:rsidRDefault="00F16494" w:rsidP="00F16494">
      <w:pPr>
        <w:jc w:val="both"/>
        <w:rPr>
          <w:rFonts w:cs="Times New Roman"/>
        </w:rPr>
      </w:pPr>
    </w:p>
    <w:p w14:paraId="27F1CAA9" w14:textId="79C0199D" w:rsidR="00F16494" w:rsidRPr="001C0408" w:rsidRDefault="00F16494" w:rsidP="00F16494">
      <w:pPr>
        <w:jc w:val="both"/>
        <w:rPr>
          <w:rFonts w:cs="Times New Roman"/>
        </w:rPr>
      </w:pPr>
      <w:r w:rsidRPr="3B3D77E7">
        <w:rPr>
          <w:rFonts w:cs="Times New Roman"/>
        </w:rPr>
        <w:t xml:space="preserve">2. Izraditi </w:t>
      </w:r>
      <w:r w:rsidRPr="3B3D77E7">
        <w:rPr>
          <w:rFonts w:cs="Times New Roman"/>
          <w:b/>
          <w:bCs/>
        </w:rPr>
        <w:t>Nacionalni plan reformi i operativne programe za financijsku perspektivu 2021. – 2027., kao i Plan za korištenje Fonda za oporavak</w:t>
      </w:r>
      <w:r w:rsidRPr="3B3D77E7">
        <w:rPr>
          <w:rFonts w:cs="Times New Roman"/>
        </w:rPr>
        <w:t xml:space="preserve"> i ostalih dostupnih izvora financiranja. Potrebno je značajno podići razinu efikasnosti procesa programiranja, ubrzati ga te uključiti sve zainteresirane dionike, a posebice </w:t>
      </w:r>
      <w:r w:rsidR="001C6064">
        <w:rPr>
          <w:rFonts w:cs="Times New Roman"/>
        </w:rPr>
        <w:t>korisnike</w:t>
      </w:r>
      <w:r w:rsidR="003B716A">
        <w:rPr>
          <w:rFonts w:cs="Times New Roman"/>
        </w:rPr>
        <w:t xml:space="preserve"> </w:t>
      </w:r>
      <w:r w:rsidRPr="3B3D77E7">
        <w:rPr>
          <w:rFonts w:cs="Times New Roman"/>
        </w:rPr>
        <w:t>koji su dosad mahom bili isključeni iz ovih postupaka zbog čega operativni programi nisu adekvatno prepoznavali potrebe i nisu na njih odgovarali adekvatnim mjerama.</w:t>
      </w:r>
      <w:r w:rsidR="003B716A">
        <w:rPr>
          <w:rFonts w:cs="Times New Roman"/>
        </w:rPr>
        <w:t xml:space="preserve"> U cijelom procesu potrebno je </w:t>
      </w:r>
      <w:r w:rsidR="004024CE">
        <w:t xml:space="preserve">u fokusu imati i potrebne </w:t>
      </w:r>
      <w:r w:rsidR="003B716A">
        <w:t>preduvjet</w:t>
      </w:r>
      <w:r w:rsidR="004024CE">
        <w:t>e</w:t>
      </w:r>
      <w:r w:rsidR="003B716A">
        <w:t xml:space="preserve"> (prostorno planiranje, upravni postupci, </w:t>
      </w:r>
      <w:r w:rsidR="000A166E">
        <w:t>mjere zaštite prirode, građevinska sezona, dinamika javnih proračuna i sl.</w:t>
      </w:r>
      <w:r w:rsidR="003B716A">
        <w:t>) u cilju što bolje realizacije projekata, ali i očekivane dinamike razvoja projekata</w:t>
      </w:r>
      <w:r w:rsidR="000A166E">
        <w:t>.</w:t>
      </w:r>
    </w:p>
    <w:p w14:paraId="01F88E57" w14:textId="77777777" w:rsidR="00F16494" w:rsidRPr="001C0408" w:rsidRDefault="00F16494" w:rsidP="00F16494">
      <w:pPr>
        <w:jc w:val="both"/>
        <w:rPr>
          <w:rFonts w:cs="Times New Roman"/>
        </w:rPr>
      </w:pPr>
    </w:p>
    <w:p w14:paraId="37794405" w14:textId="12FE2E7C" w:rsidR="00F16494" w:rsidRDefault="00F16494" w:rsidP="00F16494">
      <w:pPr>
        <w:jc w:val="both"/>
        <w:rPr>
          <w:rFonts w:cs="Times New Roman"/>
        </w:rPr>
      </w:pPr>
      <w:r w:rsidRPr="61E915EF">
        <w:rPr>
          <w:rFonts w:cs="Times New Roman"/>
        </w:rPr>
        <w:t xml:space="preserve">3. Izvršiti cjelovit </w:t>
      </w:r>
      <w:r w:rsidRPr="61E915EF">
        <w:rPr>
          <w:rFonts w:cs="Times New Roman"/>
          <w:b/>
          <w:bCs/>
        </w:rPr>
        <w:t>proces revidiranja pravnog okvira koji regulira uspostavu sustava upravljanja i kontrole Europskim strukturnim i investicijskim fondovima te izvršiti reformu sustava</w:t>
      </w:r>
      <w:r w:rsidRPr="61E915EF">
        <w:rPr>
          <w:rFonts w:cs="Times New Roman"/>
        </w:rPr>
        <w:t xml:space="preserve"> s ciljem povećanja efikasnosti i ubrzavanja protoka bespovratnih sredstava iz fondova EU-a</w:t>
      </w:r>
      <w:r w:rsidR="00F73C71">
        <w:rPr>
          <w:rFonts w:cs="Times New Roman"/>
        </w:rPr>
        <w:t>.</w:t>
      </w:r>
      <w:r w:rsidRPr="61E915EF">
        <w:rPr>
          <w:rFonts w:cs="Times New Roman"/>
        </w:rPr>
        <w:t>Unatoč povećanju broja zaposlenih u predmetnim sustavima upravljanja i kontrole, za Republiku Hrvatsku karakteristično je da je sustav glomazan i neefikasan jer se sastoji od tri međuovisne razine. U okviru izmjena načina rada sustava, potrebno je ukinuti trostupanjsko postupanje, čime će se povećati razina pravne zaštite korisnika, koncentrirati ovlasti u nadležnost koordinacijskoga tijela i jačati njegovu koordinacijsku ulogu, kao i izvršiti premještaj zaposlenih na pozicije kod kojih je zamjetan povećan opseg posla – postupci dodjele bespovratnih sredstava, ex-ante i ex-post kontrole postupaka javne nabave, pregled i odobravanje zahtjeva za nadoknadom sredstava te brzina provedbe odobrenih uplata.</w:t>
      </w:r>
    </w:p>
    <w:p w14:paraId="4233584C" w14:textId="16C0E460" w:rsidR="00F16494" w:rsidRDefault="00A825B9" w:rsidP="00F16494">
      <w:pPr>
        <w:jc w:val="both"/>
        <w:rPr>
          <w:szCs w:val="24"/>
        </w:rPr>
      </w:pPr>
      <w:r>
        <w:rPr>
          <w:szCs w:val="24"/>
        </w:rPr>
        <w:lastRenderedPageBreak/>
        <w:t>U tom smislu, predlaže se u</w:t>
      </w:r>
      <w:r w:rsidRPr="004D4FBA">
        <w:rPr>
          <w:szCs w:val="24"/>
        </w:rPr>
        <w:t xml:space="preserve">vesti </w:t>
      </w:r>
      <w:r w:rsidR="005332E9">
        <w:rPr>
          <w:szCs w:val="24"/>
        </w:rPr>
        <w:t xml:space="preserve">i </w:t>
      </w:r>
      <w:r w:rsidRPr="004D4FBA">
        <w:rPr>
          <w:szCs w:val="24"/>
        </w:rPr>
        <w:t xml:space="preserve">nacionalni model vrednovanja rada svih tijela u SUK ESIF koji će biti vezan za postotak  apsorpcije alociranih sredstava </w:t>
      </w:r>
      <w:r w:rsidR="00E900AF">
        <w:rPr>
          <w:szCs w:val="24"/>
        </w:rPr>
        <w:t>te napustiti sadašnju</w:t>
      </w:r>
      <w:r w:rsidRPr="004D4FBA">
        <w:rPr>
          <w:szCs w:val="24"/>
        </w:rPr>
        <w:t xml:space="preserve"> paradigm</w:t>
      </w:r>
      <w:r w:rsidR="00E900AF">
        <w:rPr>
          <w:szCs w:val="24"/>
        </w:rPr>
        <w:t>u</w:t>
      </w:r>
      <w:r w:rsidRPr="004D4FBA">
        <w:rPr>
          <w:szCs w:val="24"/>
        </w:rPr>
        <w:t xml:space="preserve"> financijskog penaliziranja korisnika zbog nepravilnosti u pripremi i provedbi projekata do kojih dobrim dijelom dolazi </w:t>
      </w:r>
      <w:r w:rsidR="007724B3">
        <w:rPr>
          <w:szCs w:val="24"/>
        </w:rPr>
        <w:t xml:space="preserve">i </w:t>
      </w:r>
      <w:r w:rsidRPr="004D4FBA">
        <w:rPr>
          <w:szCs w:val="24"/>
        </w:rPr>
        <w:t>zbog kriterija i uvjeta koji su nejasni i tijelima kojih ih objavljuju te ih isti u većini slučajeva zbog izostanka znanja i/ili iskustva ne znaju pojasniti korisnicima. U novom razdoblju bi tu paradigmu trebalo zamijeniti paradigmom kontinuiran</w:t>
      </w:r>
      <w:r w:rsidR="007724B3">
        <w:rPr>
          <w:szCs w:val="24"/>
        </w:rPr>
        <w:t xml:space="preserve">e podrške </w:t>
      </w:r>
      <w:r w:rsidRPr="004D4FBA">
        <w:rPr>
          <w:szCs w:val="24"/>
        </w:rPr>
        <w:t xml:space="preserve">korisnicima i preveniranja nastanka financijskih nepravilnosti. Provedbena tijela koja objavljuju natječaje bi trebala imati ustrojstvene jedinice koja bi bile zadužene za kontinuiranu institucionalnu pomoć korisnicima u pripremi projektnih prijava te za pregled projektnih prijava prije njihove predaje na natječaj. </w:t>
      </w:r>
      <w:r w:rsidR="001371AE">
        <w:rPr>
          <w:szCs w:val="24"/>
        </w:rPr>
        <w:t>T</w:t>
      </w:r>
      <w:r w:rsidRPr="001371AE">
        <w:rPr>
          <w:szCs w:val="24"/>
        </w:rPr>
        <w:t xml:space="preserve">rošak rada takvih ustrojstvenih jedinica </w:t>
      </w:r>
      <w:r w:rsidR="001371AE">
        <w:rPr>
          <w:szCs w:val="24"/>
        </w:rPr>
        <w:t xml:space="preserve">moguće je </w:t>
      </w:r>
      <w:r w:rsidRPr="001371AE">
        <w:rPr>
          <w:szCs w:val="24"/>
        </w:rPr>
        <w:t>sufinancira</w:t>
      </w:r>
      <w:r w:rsidR="001371AE">
        <w:rPr>
          <w:szCs w:val="24"/>
        </w:rPr>
        <w:t>ti</w:t>
      </w:r>
      <w:r w:rsidRPr="001371AE">
        <w:rPr>
          <w:szCs w:val="24"/>
        </w:rPr>
        <w:t xml:space="preserve"> iz EU sredstava.</w:t>
      </w:r>
    </w:p>
    <w:p w14:paraId="0105F00D" w14:textId="77777777" w:rsidR="005332E9" w:rsidRPr="001C0408" w:rsidRDefault="005332E9" w:rsidP="00F16494">
      <w:pPr>
        <w:jc w:val="both"/>
        <w:rPr>
          <w:rFonts w:cs="Times New Roman"/>
        </w:rPr>
      </w:pPr>
    </w:p>
    <w:p w14:paraId="46CF3C57" w14:textId="1EDA1507" w:rsidR="00F16494" w:rsidRPr="001C0408" w:rsidRDefault="00F16494" w:rsidP="00F16494">
      <w:pPr>
        <w:jc w:val="both"/>
        <w:rPr>
          <w:rFonts w:cs="Times New Roman"/>
        </w:rPr>
      </w:pPr>
      <w:r w:rsidRPr="61E915EF">
        <w:rPr>
          <w:rFonts w:cs="Times New Roman"/>
        </w:rPr>
        <w:t xml:space="preserve">4. </w:t>
      </w:r>
      <w:r w:rsidRPr="61E915EF">
        <w:rPr>
          <w:rFonts w:cs="Times New Roman"/>
          <w:b/>
          <w:bCs/>
        </w:rPr>
        <w:t>Pojednostaviti dokumentaciju projektnih prijava, provedbu, kao i fleksibilizirati mogućnost izmjene ugovora o dodjeli bespovratnih sredstava</w:t>
      </w:r>
      <w:r w:rsidRPr="61E915EF">
        <w:rPr>
          <w:rFonts w:cs="Times New Roman"/>
        </w:rPr>
        <w:t xml:space="preserve"> kako bi se pojednostavila i ubrzala priprema projekata, kao i pojednostavila provedba. Za potrebe ove aktivnosti, nužno je revidirati dokumentaciju poziva te opće i posebne uvjete ugovora o dodjeli bespovratnih sredstava, obrasce i dokaze kojima se utvrđuje ispunjavanje indikatora i ostvarivanje ciljeva, kao i ujednačiti obrasce za sve operativne programe, odnosno instrumente financiranja. </w:t>
      </w:r>
    </w:p>
    <w:p w14:paraId="174AC28E" w14:textId="77777777" w:rsidR="00F16494" w:rsidRPr="001C0408" w:rsidRDefault="00F16494" w:rsidP="00F16494">
      <w:pPr>
        <w:rPr>
          <w:rFonts w:cs="Times New Roman"/>
        </w:rPr>
      </w:pPr>
    </w:p>
    <w:p w14:paraId="5FAD9C88" w14:textId="7FD250E2" w:rsidR="00F16494" w:rsidRPr="001C0408" w:rsidRDefault="00F16494">
      <w:pPr>
        <w:jc w:val="both"/>
        <w:rPr>
          <w:rFonts w:cs="Times New Roman"/>
        </w:rPr>
      </w:pPr>
      <w:r w:rsidRPr="3B3D77E7">
        <w:rPr>
          <w:rFonts w:cs="Times New Roman"/>
        </w:rPr>
        <w:t>5</w:t>
      </w:r>
      <w:r w:rsidRPr="3B3D77E7">
        <w:rPr>
          <w:rFonts w:cs="Times New Roman"/>
          <w:b/>
          <w:bCs/>
        </w:rPr>
        <w:t>. Identificirati i druge modele i izvore financiranja investicija i projekata koji čine sastavni dio NRS2030, kroz identifikaciju financijskih instrumenata i alternativnih modela nabave.</w:t>
      </w:r>
      <w:r w:rsidRPr="3B3D77E7">
        <w:rPr>
          <w:rFonts w:cs="Times New Roman"/>
        </w:rPr>
        <w:t xml:space="preserve"> Tradicionalni model ugovaranja i realiziranja investicija od strane javnog sektora u osnovi predstavlja javno-privatno partnerstvo u kojem su odgovornosti i rizici pogrešno definirani. Javni naručitelji prvo ugovaraju izradu projektne dokumentacije za koju, u konačnici, preuzimaju i rizik (u teoriji odgovornost snosi izvođač - projektant, ali u praksi to gotovo nikada nije tako), nakon toga ugovaraju izvođenje radova, za što javni sektor također u praksi preuzima znatan dio rizika (vrlo često se dešava situacija da usprkos nadzoru radovi nisu izvođeni u skladu s pravilima struke), a na kraju preuzima i odgovornost za održavanje i operativne troškove investicije (primjerice zgrade). Ispravno definiranje rizika i odgovornosti podrazumijeva da rizik preuzima onaj sudionik u projektu koji njime najbolje (odnosno najefikasnije) upravlja. </w:t>
      </w:r>
    </w:p>
    <w:p w14:paraId="225AEFDD" w14:textId="77777777" w:rsidR="00F16494" w:rsidRPr="001C0408" w:rsidRDefault="00F16494" w:rsidP="00F16494">
      <w:pPr>
        <w:rPr>
          <w:rFonts w:cs="Times New Roman"/>
        </w:rPr>
      </w:pPr>
    </w:p>
    <w:p w14:paraId="15B0BEB0" w14:textId="77777777" w:rsidR="00F16494" w:rsidRPr="001C0408" w:rsidRDefault="00F16494" w:rsidP="003B4AE7">
      <w:pPr>
        <w:jc w:val="both"/>
        <w:rPr>
          <w:rFonts w:cs="Times New Roman"/>
          <w:b/>
          <w:bCs/>
        </w:rPr>
      </w:pPr>
      <w:r w:rsidRPr="001C0408">
        <w:rPr>
          <w:rFonts w:cs="Times New Roman"/>
        </w:rPr>
        <w:t>6.</w:t>
      </w:r>
      <w:r w:rsidRPr="001C0408">
        <w:rPr>
          <w:rFonts w:cs="Times New Roman"/>
          <w:b/>
          <w:bCs/>
        </w:rPr>
        <w:t xml:space="preserve"> Izraditi i osvijestiti dugoročnu viziju korištenja EU fondova kao poluge za mobiliziranje investicija</w:t>
      </w:r>
    </w:p>
    <w:p w14:paraId="389031C4" w14:textId="77777777" w:rsidR="00F16494" w:rsidRPr="001C0408" w:rsidRDefault="00F16494" w:rsidP="00F16494">
      <w:pPr>
        <w:jc w:val="both"/>
        <w:rPr>
          <w:rFonts w:cs="Times New Roman"/>
        </w:rPr>
      </w:pPr>
      <w:r w:rsidRPr="001C0408">
        <w:rPr>
          <w:rFonts w:cs="Times New Roman"/>
        </w:rPr>
        <w:t>EU fondove treba percipirati i prepoznati kao sredstvo za postizanje razvojnih ciljeva Republike Hrvatske, a ne kao ciljeve za sebe. U ekonomskom smislu, faktor multiplikacije predstavlja jedan od najjačih alata za postizanje maksimalnih učinaka investicija, a koncept financijske poluge u ovom kontekstu znači da se javni novac promatra kao kapital uz koji se vežu privatna sredstva koja multipliciraju ukupan financijski potencijal projekata, tako da omjer privatnog i javnog kapitala koji sudjeluju u investiciji bude što veći. Korištenje bespovratnih sredstava u dosadašnjem obliku dovodi do poluga s omjerom 1:1 ili čak manjim, što posljedično dovodi i do niskih multiplikativnih učinaka takvih ulaganja. Izvjesno je da uz ovakav način korištenja javnih sredstava neće biti ni približno dovoljno investicija da se realiziraju svi razvojni ciljevi Republike Hrvatske koje se zamislilo realizirati kroz EU sredstva, zelene i digitalne projekte.</w:t>
      </w:r>
    </w:p>
    <w:p w14:paraId="0ED1FF27" w14:textId="77777777" w:rsidR="00F16494" w:rsidRPr="001C0408" w:rsidRDefault="00F16494" w:rsidP="00F16494">
      <w:pPr>
        <w:jc w:val="both"/>
        <w:rPr>
          <w:rFonts w:cs="Times New Roman"/>
        </w:rPr>
      </w:pPr>
    </w:p>
    <w:p w14:paraId="29363191" w14:textId="19AC663A" w:rsidR="00F16494" w:rsidRPr="001C0408" w:rsidRDefault="00F16494" w:rsidP="00F16494">
      <w:pPr>
        <w:jc w:val="both"/>
        <w:rPr>
          <w:rFonts w:cs="Times New Roman"/>
        </w:rPr>
      </w:pPr>
      <w:r w:rsidRPr="3B3D77E7">
        <w:rPr>
          <w:rFonts w:cs="Times New Roman"/>
        </w:rPr>
        <w:t>Modeli javno-privatnog partnerstva nude mogućnost postizanja dovoljno velikih poluga u realizaciji potreba u javnom sektoru (zgradarstvo, infrastruktura, energetika)</w:t>
      </w:r>
      <w:r w:rsidR="00083597">
        <w:rPr>
          <w:rFonts w:cs="Times New Roman"/>
        </w:rPr>
        <w:t xml:space="preserve"> iako ih je potrebno kritički sagledati i primjenjivati uzimajući u obzir sva postojeća iskustva i ograničenja</w:t>
      </w:r>
      <w:r w:rsidRPr="3B3D77E7">
        <w:rPr>
          <w:rFonts w:cs="Times New Roman"/>
        </w:rPr>
        <w:t xml:space="preserve">. Ovaj model zasniva se na tome da se javna sredstva ne koriste za financiranje </w:t>
      </w:r>
      <w:r w:rsidRPr="3B3D77E7">
        <w:rPr>
          <w:rFonts w:cs="Times New Roman"/>
        </w:rPr>
        <w:lastRenderedPageBreak/>
        <w:t xml:space="preserve">kompletne investicije, a i pripremu pokriva privatni partner. nego za plaćanje redovne naknade privatnom partneru u dugoročnom razdoblju od 20 ili više godina. Na taj način, </w:t>
      </w:r>
      <w:r w:rsidR="004639AC">
        <w:rPr>
          <w:rFonts w:cs="Times New Roman"/>
        </w:rPr>
        <w:t>moguće je ubrzati dinamiku investicija, odnosno korištenja sredstava iz</w:t>
      </w:r>
      <w:r w:rsidRPr="3B3D77E7">
        <w:rPr>
          <w:rFonts w:cs="Times New Roman"/>
        </w:rPr>
        <w:t xml:space="preserve"> EU strukturnih fondova. Za ovo je potrebno osigurati sustavan i metodološki ujednačen pristup pripremi projekata kroz izradu nacionalne standardizirane dokumentacije </w:t>
      </w:r>
      <w:r w:rsidR="00051939">
        <w:rPr>
          <w:rFonts w:cs="Times New Roman"/>
        </w:rPr>
        <w:t xml:space="preserve">i održivost projekata s ekonomske i materijalne strane </w:t>
      </w:r>
      <w:r w:rsidRPr="3B3D77E7">
        <w:rPr>
          <w:rFonts w:cs="Times New Roman"/>
        </w:rPr>
        <w:t>te planirati financiranje pripreme projekata kroz programe tehničke pomoći.</w:t>
      </w:r>
    </w:p>
    <w:p w14:paraId="1F185C92" w14:textId="77777777" w:rsidR="00F16494" w:rsidRPr="001C0408" w:rsidRDefault="00F16494" w:rsidP="00F16494">
      <w:pPr>
        <w:jc w:val="both"/>
        <w:rPr>
          <w:rFonts w:cs="Times New Roman"/>
          <w:bCs/>
        </w:rPr>
      </w:pPr>
    </w:p>
    <w:p w14:paraId="04A41F2A" w14:textId="44E55350" w:rsidR="00F16494" w:rsidRDefault="00F16494" w:rsidP="00F16494">
      <w:pPr>
        <w:jc w:val="both"/>
        <w:rPr>
          <w:rFonts w:cs="Times New Roman"/>
          <w:bCs/>
        </w:rPr>
      </w:pPr>
    </w:p>
    <w:p w14:paraId="2CBA10A3" w14:textId="77777777" w:rsidR="00566444" w:rsidRPr="001C0408" w:rsidRDefault="00566444" w:rsidP="00F16494">
      <w:pPr>
        <w:jc w:val="both"/>
        <w:rPr>
          <w:rFonts w:cs="Times New Roman"/>
          <w:bCs/>
        </w:rPr>
      </w:pPr>
    </w:p>
    <w:p w14:paraId="274C44BC" w14:textId="07B29B38" w:rsidR="00F16494" w:rsidRPr="00B97431" w:rsidRDefault="00F16494" w:rsidP="00B97431">
      <w:pPr>
        <w:pStyle w:val="ListParagraph"/>
        <w:numPr>
          <w:ilvl w:val="0"/>
          <w:numId w:val="22"/>
        </w:numPr>
        <w:rPr>
          <w:rFonts w:cs="Times New Roman"/>
          <w:b/>
          <w:bCs/>
          <w:sz w:val="28"/>
          <w:szCs w:val="28"/>
        </w:rPr>
      </w:pPr>
      <w:r w:rsidRPr="00B97431">
        <w:rPr>
          <w:rFonts w:cs="Times New Roman"/>
          <w:b/>
          <w:bCs/>
          <w:sz w:val="28"/>
          <w:szCs w:val="28"/>
        </w:rPr>
        <w:t>Učinkovita i transparentna suradnja javnog i privatnog sektora kao osnova razvoja</w:t>
      </w:r>
    </w:p>
    <w:p w14:paraId="33F595CC" w14:textId="77777777" w:rsidR="00F16494" w:rsidRPr="001C0408" w:rsidRDefault="00F16494" w:rsidP="00F16494">
      <w:pPr>
        <w:rPr>
          <w:rFonts w:cs="Times New Roman"/>
          <w:b/>
          <w:bCs/>
        </w:rPr>
      </w:pPr>
    </w:p>
    <w:p w14:paraId="6F80811B" w14:textId="7FCAF0AC" w:rsidR="00F16494" w:rsidRPr="00B97431" w:rsidRDefault="00B97431" w:rsidP="00B97431">
      <w:pPr>
        <w:pStyle w:val="ListParagraph"/>
        <w:numPr>
          <w:ilvl w:val="1"/>
          <w:numId w:val="22"/>
        </w:numPr>
        <w:rPr>
          <w:rFonts w:cs="Times New Roman"/>
          <w:b/>
          <w:bCs/>
        </w:rPr>
      </w:pPr>
      <w:r>
        <w:rPr>
          <w:rFonts w:cs="Times New Roman"/>
          <w:b/>
          <w:bCs/>
        </w:rPr>
        <w:t xml:space="preserve"> </w:t>
      </w:r>
      <w:r w:rsidR="00F16494" w:rsidRPr="00B97431">
        <w:rPr>
          <w:rFonts w:cs="Times New Roman"/>
          <w:b/>
          <w:bCs/>
        </w:rPr>
        <w:t>Kako financirati ostvarenje vizije?</w:t>
      </w:r>
    </w:p>
    <w:p w14:paraId="2FE5EC62" w14:textId="77777777" w:rsidR="00F16494" w:rsidRPr="001C0408" w:rsidRDefault="00F16494" w:rsidP="00F16494">
      <w:pPr>
        <w:rPr>
          <w:rFonts w:cs="Times New Roman"/>
        </w:rPr>
      </w:pPr>
    </w:p>
    <w:p w14:paraId="22AA43F2" w14:textId="77777777" w:rsidR="00F16494" w:rsidRPr="001C0408" w:rsidRDefault="00F16494" w:rsidP="00F16494">
      <w:pPr>
        <w:jc w:val="both"/>
        <w:rPr>
          <w:rFonts w:cs="Times New Roman"/>
        </w:rPr>
      </w:pPr>
      <w:r w:rsidRPr="001C0408">
        <w:rPr>
          <w:rFonts w:cs="Times New Roman"/>
        </w:rPr>
        <w:t>Korist od uključivanja privatnog poduzetništva u uspostavu i izgradnju javne infrastrukture manifestira se u kraćem razdoblju pripreme, manjem broju pojedinačnih nabava, većoj kvaliteti dokumentacije, kraćem razdoblju izgradnje, manjim troškovima prekoračenja budžeta izgradnje, manjim operativnim troškovima, boljem odnosu cijene i kvalitete javne usluge, a osobito većoj učinkovitosti u korištenju EU fondova i financijskih instrumenata. Osnova te koristi za javne naručitelje je u iskustvu da je privatno poduzetništvo u pravilu inovativnije u poslovnim procesima, učinkovitije u upravljanju troškovima te osjetljivije na zadovoljstvo korisnika usluga. Intenzivnije uključivanje privatnog poduzetništva smanjuje ukupne troškove javnih projekata u tijeku cijelog vijeka eksploatacije, smanjujući tako javne rashode i povećavajući konkurentnost javnih usluga.</w:t>
      </w:r>
    </w:p>
    <w:p w14:paraId="78FD544E" w14:textId="77777777" w:rsidR="00F16494" w:rsidRPr="001C0408" w:rsidRDefault="00F16494" w:rsidP="00F16494">
      <w:pPr>
        <w:jc w:val="both"/>
        <w:rPr>
          <w:rFonts w:cs="Times New Roman"/>
        </w:rPr>
      </w:pPr>
    </w:p>
    <w:p w14:paraId="299839C9" w14:textId="77777777" w:rsidR="00F16494" w:rsidRPr="001C0408" w:rsidRDefault="00F16494" w:rsidP="00F16494">
      <w:pPr>
        <w:jc w:val="both"/>
        <w:rPr>
          <w:rFonts w:cs="Times New Roman"/>
        </w:rPr>
      </w:pPr>
      <w:r w:rsidRPr="001C0408">
        <w:rPr>
          <w:rFonts w:cs="Times New Roman"/>
        </w:rPr>
        <w:t xml:space="preserve">Od poznatih oblika udruživanja javnog sektora s privatnim poduzetništvom, moguće je programirati vlasničke instrumente (engl. </w:t>
      </w:r>
      <w:r w:rsidRPr="001C0408">
        <w:rPr>
          <w:rFonts w:cs="Times New Roman"/>
          <w:i/>
        </w:rPr>
        <w:t>equity i mezzanine financial instruments</w:t>
      </w:r>
      <w:r w:rsidRPr="001C0408">
        <w:rPr>
          <w:rFonts w:cs="Times New Roman"/>
        </w:rPr>
        <w:t xml:space="preserve">) koji bi ojačali konkurentsku poziciju domaćih poduzetnika na tržištu javne, socijalne i ekonomske infrastrukture. Jamstvenim instrumentima (engl. </w:t>
      </w:r>
      <w:r w:rsidRPr="001C0408">
        <w:rPr>
          <w:rFonts w:cs="Times New Roman"/>
          <w:i/>
        </w:rPr>
        <w:t>guarantee financial instruments</w:t>
      </w:r>
      <w:r w:rsidRPr="001C0408">
        <w:rPr>
          <w:rFonts w:cs="Times New Roman"/>
        </w:rPr>
        <w:t xml:space="preserve">) moguće je povećati interes investitora iz privatnog sektora, osobito onih u čijem je fokusu socijalna infrastruktura poput škola, bolnica, policijskih i vatrogasnih postaja, vrtića, zatvora, nerazvrstanih cesta i sličnih, te smanjiti rizik povrata investicije pa će oni biti osobito interesantni javnim naručiteljima smanjenog fiskalnog kapaciteta. Dužničkim instrumentima (engl. </w:t>
      </w:r>
      <w:r w:rsidRPr="001C0408">
        <w:rPr>
          <w:rFonts w:cs="Times New Roman"/>
          <w:i/>
        </w:rPr>
        <w:t>debt financial instruments</w:t>
      </w:r>
      <w:r w:rsidRPr="001C0408">
        <w:rPr>
          <w:rFonts w:cs="Times New Roman"/>
        </w:rPr>
        <w:t>) moguće je smanjiti troškove financiranja projekta i produljiti razdoblje amortizacije što pozitivno utječe na financijsku prihvatljivost javnog projekta.</w:t>
      </w:r>
    </w:p>
    <w:p w14:paraId="4FED9AD3" w14:textId="77777777" w:rsidR="00F16494" w:rsidRPr="001C0408" w:rsidRDefault="00F16494" w:rsidP="00F16494">
      <w:pPr>
        <w:jc w:val="both"/>
        <w:rPr>
          <w:rFonts w:cs="Times New Roman"/>
        </w:rPr>
      </w:pPr>
    </w:p>
    <w:p w14:paraId="69598371" w14:textId="77777777" w:rsidR="00F16494" w:rsidRPr="001C0408" w:rsidRDefault="00F16494" w:rsidP="00F16494">
      <w:pPr>
        <w:jc w:val="both"/>
        <w:rPr>
          <w:rFonts w:cs="Times New Roman"/>
        </w:rPr>
      </w:pPr>
      <w:r w:rsidRPr="001C0408">
        <w:rPr>
          <w:rFonts w:cs="Times New Roman"/>
        </w:rPr>
        <w:t xml:space="preserve">Posebno treba istaknuti utjecaj intenzivnije suradnje s privatnim poduzetništvom na javni dug. Primjereno pripremljeni ugovori između javnih naručitelja i poduzetnika uključenih u JPP mogu doprinijeti povećanju javnih investicijskih projekata uz istovremeno relativno smanjenje javnog duga. Standardizirani ugovori značajno bi mogli ubrzati procese isporuke javnih projekata. </w:t>
      </w:r>
    </w:p>
    <w:p w14:paraId="2A146A62" w14:textId="77777777" w:rsidR="00F16494" w:rsidRPr="001C0408" w:rsidRDefault="00F16494" w:rsidP="00F16494">
      <w:pPr>
        <w:jc w:val="both"/>
        <w:rPr>
          <w:rFonts w:cs="Times New Roman"/>
        </w:rPr>
      </w:pPr>
    </w:p>
    <w:p w14:paraId="6C41ED64" w14:textId="77777777" w:rsidR="00F16494" w:rsidRPr="001C0408" w:rsidRDefault="00F16494" w:rsidP="00F16494">
      <w:pPr>
        <w:jc w:val="both"/>
        <w:rPr>
          <w:rFonts w:cs="Times New Roman"/>
        </w:rPr>
      </w:pPr>
    </w:p>
    <w:p w14:paraId="383D1395" w14:textId="593A8758" w:rsidR="00F16494" w:rsidRPr="00B97431" w:rsidRDefault="00B97431" w:rsidP="00B97431">
      <w:pPr>
        <w:pStyle w:val="ListParagraph"/>
        <w:numPr>
          <w:ilvl w:val="1"/>
          <w:numId w:val="22"/>
        </w:numPr>
        <w:jc w:val="both"/>
        <w:rPr>
          <w:rFonts w:cs="Times New Roman"/>
          <w:b/>
        </w:rPr>
      </w:pPr>
      <w:r>
        <w:rPr>
          <w:rFonts w:cs="Times New Roman"/>
          <w:b/>
        </w:rPr>
        <w:t xml:space="preserve"> </w:t>
      </w:r>
      <w:r w:rsidR="00F16494" w:rsidRPr="00B97431">
        <w:rPr>
          <w:rFonts w:cs="Times New Roman"/>
          <w:b/>
        </w:rPr>
        <w:t>Kako potaknuti interes privatnog poduzetništva za ulaganja u javnu socijalnu i ekonomsku infrastrukturu?</w:t>
      </w:r>
    </w:p>
    <w:p w14:paraId="1A251785" w14:textId="77777777" w:rsidR="00F16494" w:rsidRPr="001C0408" w:rsidRDefault="00F16494" w:rsidP="00F16494">
      <w:pPr>
        <w:jc w:val="both"/>
        <w:rPr>
          <w:rFonts w:cs="Times New Roman"/>
        </w:rPr>
      </w:pPr>
    </w:p>
    <w:p w14:paraId="1C03FB5F" w14:textId="77777777" w:rsidR="00F16494" w:rsidRPr="001C0408" w:rsidRDefault="00F16494" w:rsidP="00F16494">
      <w:pPr>
        <w:jc w:val="both"/>
        <w:rPr>
          <w:rFonts w:cs="Times New Roman"/>
        </w:rPr>
      </w:pPr>
      <w:r w:rsidRPr="001C0408">
        <w:rPr>
          <w:rFonts w:cs="Times New Roman"/>
        </w:rPr>
        <w:t xml:space="preserve">Vlada RH trebala bi potaknuti uključivanje privatnog poduzetništva u investiranje i financiranje javne socijalne i ekonomske infrastrukture. Spremnost i sposobnost (domaćeg) </w:t>
      </w:r>
      <w:r w:rsidRPr="001C0408">
        <w:rPr>
          <w:rFonts w:cs="Times New Roman"/>
        </w:rPr>
        <w:lastRenderedPageBreak/>
        <w:t xml:space="preserve">privatnog poduzetništva u izgradnji, održavanju, upravljanju financiranju javnih investicijskih projekata postoji, ali je do sada uvijek nedostajala politička podrška i poruka. </w:t>
      </w:r>
    </w:p>
    <w:p w14:paraId="5FCF2BE0" w14:textId="77777777" w:rsidR="00F16494" w:rsidRPr="001C0408" w:rsidRDefault="00F16494" w:rsidP="00F16494">
      <w:pPr>
        <w:jc w:val="both"/>
        <w:rPr>
          <w:rFonts w:cs="Times New Roman"/>
        </w:rPr>
      </w:pPr>
    </w:p>
    <w:p w14:paraId="29D30B57" w14:textId="77777777" w:rsidR="00F16494" w:rsidRPr="001C0408" w:rsidRDefault="00F16494" w:rsidP="00F16494">
      <w:pPr>
        <w:jc w:val="both"/>
        <w:rPr>
          <w:rFonts w:cs="Times New Roman"/>
        </w:rPr>
      </w:pPr>
      <w:r w:rsidRPr="001C0408">
        <w:rPr>
          <w:rFonts w:cs="Times New Roman"/>
        </w:rPr>
        <w:t xml:space="preserve">Politička poruka treba biti - neutralnost prema modelu nabave kao i jasan stav da će odabir modela nabave biti rezultat stručne analize vrijednosti za novac. </w:t>
      </w:r>
      <w:r w:rsidRPr="001C0408">
        <w:rPr>
          <w:rFonts w:cs="Times New Roman"/>
          <w:b/>
          <w:bCs/>
        </w:rPr>
        <w:t xml:space="preserve">Vrijednost za novac trebao bi biti osnovni kriterij moderne javne uprave. </w:t>
      </w:r>
      <w:r w:rsidRPr="001C0408">
        <w:rPr>
          <w:rFonts w:cs="Times New Roman"/>
        </w:rPr>
        <w:t>Model nabave s najboljom vrijednosti za novac jamči najmanje javne rashode, najveću kvalitetu javnih usluga, transparentnost u nabavi i izvršenju te nadzor kvalitete javnih usluga i zadovoljstva korisnika u cjelokupnom vijeku investicije. To je najbolje i za javne naručitelje i za porezne obveznike. Upravo zbog imperativa izvrsnosti javnog menadžmenta u isporuci javnih građevina predlaže se da u postupcima isporuke javnih građevina javni naručitelji ne preferiraju unaprijed  model nabave već da se o modelu nabave odluči nakon sveobuhvatne stručne, društvene i financijske analize, na način da se odabere model koji osigurava najveću vrijednost za novac.</w:t>
      </w:r>
    </w:p>
    <w:p w14:paraId="2066CFB7" w14:textId="77777777" w:rsidR="00F16494" w:rsidRPr="001C0408" w:rsidRDefault="00F16494" w:rsidP="00F16494">
      <w:pPr>
        <w:jc w:val="both"/>
        <w:rPr>
          <w:rFonts w:cs="Times New Roman"/>
        </w:rPr>
      </w:pPr>
      <w:r w:rsidRPr="001C0408">
        <w:rPr>
          <w:rFonts w:cs="Times New Roman"/>
        </w:rPr>
        <w:t xml:space="preserve"> </w:t>
      </w:r>
    </w:p>
    <w:p w14:paraId="233B616B" w14:textId="77777777" w:rsidR="00F16494" w:rsidRPr="001C0408" w:rsidRDefault="00F16494" w:rsidP="00F16494">
      <w:pPr>
        <w:jc w:val="both"/>
        <w:rPr>
          <w:rFonts w:cs="Times New Roman"/>
        </w:rPr>
      </w:pPr>
      <w:r w:rsidRPr="001C0408">
        <w:rPr>
          <w:rFonts w:cs="Times New Roman"/>
          <w:b/>
          <w:bCs/>
        </w:rPr>
        <w:t>Vlada RH trebala bi inzistirati i na uvođenju izvrsnosti u javni menadžment i postaviti javne naručitelje u ulogu zaštitnika kvalitete isporučene usluge građanima.</w:t>
      </w:r>
      <w:r w:rsidRPr="001C0408">
        <w:rPr>
          <w:rFonts w:cs="Times New Roman"/>
        </w:rPr>
        <w:t xml:space="preserve"> Ključan zadatak je zaštititi porezne obveznike od rizika gubitka vrijednosti njihovog novca uslijed korupcije i nesankcionirane neučinkovitosti. Potrebno je definirati osnovne odrednice za korištenje financijskih instrumenata, bespovratnih sredstava (engl. </w:t>
      </w:r>
      <w:r w:rsidRPr="001C0408">
        <w:rPr>
          <w:rFonts w:cs="Times New Roman"/>
          <w:i/>
        </w:rPr>
        <w:t>grantova</w:t>
      </w:r>
      <w:r w:rsidRPr="001C0408">
        <w:rPr>
          <w:rFonts w:cs="Times New Roman"/>
        </w:rPr>
        <w:t xml:space="preserve">) u kombinaciji s alternativnim modelima nabave. Radi se o postupku kombiniranja (engl. </w:t>
      </w:r>
      <w:r w:rsidRPr="001C0408">
        <w:rPr>
          <w:rFonts w:cs="Times New Roman"/>
          <w:i/>
        </w:rPr>
        <w:t>blending</w:t>
      </w:r>
      <w:r w:rsidRPr="001C0408">
        <w:rPr>
          <w:rFonts w:cs="Times New Roman"/>
        </w:rPr>
        <w:t>) EU izvora s alternativnim modelima nabave poticanog od Europske unije i njenih institucija, a takvi su postupci već i u Hrvatskoj detaljnije razrađeni u okviru više projekta financiranih iz EU izvora.</w:t>
      </w:r>
    </w:p>
    <w:p w14:paraId="381519B7" w14:textId="290A2F4A" w:rsidR="00F16494" w:rsidRPr="001C0408" w:rsidRDefault="00F16494" w:rsidP="00F16494">
      <w:pPr>
        <w:jc w:val="both"/>
        <w:rPr>
          <w:rFonts w:cs="Times New Roman"/>
        </w:rPr>
      </w:pPr>
      <w:r w:rsidRPr="3B3D77E7">
        <w:rPr>
          <w:rFonts w:cs="Times New Roman"/>
        </w:rPr>
        <w:t xml:space="preserve">Za učinkovitost u formiranju koncepcije pristupa strateškom planiranju, programiranju te definiranju postupaka stručne pripreme projekata predlaže se i žurno donijeti </w:t>
      </w:r>
      <w:r w:rsidRPr="3B3D77E7">
        <w:rPr>
          <w:rFonts w:cs="Times New Roman"/>
          <w:b/>
          <w:bCs/>
        </w:rPr>
        <w:t>Uredbu o načinu ocjene i postupku odobravanja javnih investicijskih projekata</w:t>
      </w:r>
      <w:r w:rsidRPr="3B3D77E7">
        <w:rPr>
          <w:rFonts w:cs="Times New Roman"/>
        </w:rPr>
        <w:t xml:space="preserve"> koja je već u izradi. </w:t>
      </w:r>
    </w:p>
    <w:p w14:paraId="1C886523" w14:textId="5616FBE1" w:rsidR="00F16494" w:rsidRDefault="00F16494" w:rsidP="00F16494">
      <w:pPr>
        <w:jc w:val="both"/>
        <w:rPr>
          <w:rFonts w:cs="Times New Roman"/>
        </w:rPr>
      </w:pPr>
    </w:p>
    <w:p w14:paraId="4AC9BB68" w14:textId="77777777" w:rsidR="00566444" w:rsidRDefault="00566444" w:rsidP="00F16494">
      <w:pPr>
        <w:jc w:val="both"/>
        <w:rPr>
          <w:rFonts w:cs="Times New Roman"/>
        </w:rPr>
      </w:pPr>
    </w:p>
    <w:p w14:paraId="51E334D9" w14:textId="77777777" w:rsidR="00B97431" w:rsidRPr="001C0408" w:rsidRDefault="00B97431" w:rsidP="00F16494">
      <w:pPr>
        <w:jc w:val="both"/>
        <w:rPr>
          <w:rFonts w:cs="Times New Roman"/>
        </w:rPr>
      </w:pPr>
    </w:p>
    <w:p w14:paraId="379CB985" w14:textId="5A351322" w:rsidR="00F16494" w:rsidRPr="00B97431" w:rsidRDefault="00F16494" w:rsidP="00B97431">
      <w:pPr>
        <w:pStyle w:val="ListParagraph"/>
        <w:numPr>
          <w:ilvl w:val="0"/>
          <w:numId w:val="22"/>
        </w:numPr>
        <w:rPr>
          <w:rFonts w:cs="Times New Roman"/>
          <w:b/>
          <w:bCs/>
          <w:sz w:val="28"/>
          <w:szCs w:val="28"/>
        </w:rPr>
      </w:pPr>
      <w:r w:rsidRPr="3B3D77E7">
        <w:rPr>
          <w:rFonts w:cs="Times New Roman"/>
          <w:b/>
          <w:bCs/>
          <w:sz w:val="28"/>
          <w:szCs w:val="28"/>
        </w:rPr>
        <w:t>Preporuke</w:t>
      </w:r>
    </w:p>
    <w:p w14:paraId="1285F9F0" w14:textId="77777777" w:rsidR="00F16494" w:rsidRPr="001C0408" w:rsidRDefault="00F16494" w:rsidP="00F16494">
      <w:pPr>
        <w:jc w:val="both"/>
        <w:rPr>
          <w:rFonts w:cs="Times New Roman"/>
          <w:b/>
          <w:bCs/>
        </w:rPr>
      </w:pPr>
    </w:p>
    <w:p w14:paraId="38D21EC4" w14:textId="77777777" w:rsidR="00F16494" w:rsidRPr="001C0408" w:rsidRDefault="00F16494" w:rsidP="00F16494">
      <w:pPr>
        <w:pStyle w:val="ListParagraph"/>
        <w:numPr>
          <w:ilvl w:val="0"/>
          <w:numId w:val="21"/>
        </w:numPr>
        <w:ind w:left="426" w:hanging="426"/>
        <w:contextualSpacing w:val="0"/>
        <w:jc w:val="both"/>
        <w:rPr>
          <w:rFonts w:cs="Times New Roman"/>
        </w:rPr>
      </w:pPr>
      <w:r w:rsidRPr="3B3D77E7">
        <w:rPr>
          <w:rFonts w:cs="Times New Roman"/>
          <w:b/>
          <w:bCs/>
        </w:rPr>
        <w:t xml:space="preserve">Žurno usvojiti ambicioznu Nacionalnu razvojnu strategiju – Hrvatska 2030, </w:t>
      </w:r>
      <w:r w:rsidRPr="3B3D77E7">
        <w:rPr>
          <w:rFonts w:cs="Times New Roman"/>
        </w:rPr>
        <w:t>koja će se temelji na zelenom gospodarstvu, klimatski neutralnom društvu i ciljevima održivog razvoja u skladu s Europskim zelenim planom;</w:t>
      </w:r>
    </w:p>
    <w:p w14:paraId="6FF30FFB" w14:textId="77777777" w:rsidR="00F16494" w:rsidRPr="001C0408" w:rsidRDefault="00F16494" w:rsidP="00F16494">
      <w:pPr>
        <w:jc w:val="both"/>
        <w:rPr>
          <w:rFonts w:cs="Times New Roman"/>
          <w:b/>
          <w:bCs/>
        </w:rPr>
      </w:pPr>
    </w:p>
    <w:p w14:paraId="5AB8F4A9" w14:textId="2827B52D" w:rsidR="00F16494" w:rsidRPr="001C0408" w:rsidRDefault="00F16494" w:rsidP="00F16494">
      <w:pPr>
        <w:pStyle w:val="ListParagraph"/>
        <w:numPr>
          <w:ilvl w:val="0"/>
          <w:numId w:val="21"/>
        </w:numPr>
        <w:ind w:left="426" w:hanging="426"/>
        <w:contextualSpacing w:val="0"/>
        <w:jc w:val="both"/>
        <w:rPr>
          <w:rFonts w:cs="Times New Roman"/>
        </w:rPr>
      </w:pPr>
      <w:r w:rsidRPr="61E915EF">
        <w:rPr>
          <w:rFonts w:cs="Times New Roman"/>
          <w:b/>
          <w:bCs/>
        </w:rPr>
        <w:t xml:space="preserve">Formirati ekspertni savjetnički tim </w:t>
      </w:r>
      <w:r w:rsidRPr="61E915EF">
        <w:rPr>
          <w:rFonts w:cs="Times New Roman"/>
        </w:rPr>
        <w:t>sastavljen od nezavisnih stručnjaka za fondove EU-a i investicije na razini Vlade RH s ciljem uspješnijeg korištenje sredstava iz fondova EU;</w:t>
      </w:r>
    </w:p>
    <w:p w14:paraId="048EE791" w14:textId="77777777" w:rsidR="00F16494" w:rsidRPr="001C0408" w:rsidRDefault="00F16494" w:rsidP="00F16494">
      <w:pPr>
        <w:pStyle w:val="ListParagraph"/>
        <w:rPr>
          <w:rFonts w:cs="Times New Roman"/>
          <w:b/>
          <w:bCs/>
        </w:rPr>
      </w:pPr>
    </w:p>
    <w:p w14:paraId="795655ED" w14:textId="77777777" w:rsidR="00F16494" w:rsidRPr="001C0408" w:rsidRDefault="00F16494" w:rsidP="00F16494">
      <w:pPr>
        <w:pStyle w:val="ListParagraph"/>
        <w:numPr>
          <w:ilvl w:val="0"/>
          <w:numId w:val="21"/>
        </w:numPr>
        <w:ind w:left="426" w:hanging="426"/>
        <w:contextualSpacing w:val="0"/>
        <w:jc w:val="both"/>
        <w:rPr>
          <w:rFonts w:cs="Times New Roman"/>
        </w:rPr>
      </w:pPr>
      <w:r w:rsidRPr="001C0408">
        <w:rPr>
          <w:rFonts w:cs="Times New Roman"/>
          <w:b/>
          <w:bCs/>
        </w:rPr>
        <w:t xml:space="preserve">Doraditi pravni, planski i operativni okvir sustava upravljanja i kontrole Europskim strukturnim i investicijskim fondovima </w:t>
      </w:r>
      <w:r w:rsidRPr="001C0408">
        <w:rPr>
          <w:rFonts w:cs="Times New Roman"/>
        </w:rPr>
        <w:t>kako bi se:</w:t>
      </w:r>
    </w:p>
    <w:p w14:paraId="002B6468" w14:textId="77777777" w:rsidR="00F16494" w:rsidRPr="001C0408" w:rsidRDefault="00F16494" w:rsidP="00F16494">
      <w:pPr>
        <w:pStyle w:val="ListParagraph"/>
        <w:numPr>
          <w:ilvl w:val="1"/>
          <w:numId w:val="18"/>
        </w:numPr>
        <w:ind w:left="851" w:hanging="284"/>
        <w:contextualSpacing w:val="0"/>
        <w:jc w:val="both"/>
        <w:rPr>
          <w:rFonts w:cs="Times New Roman"/>
        </w:rPr>
      </w:pPr>
      <w:r w:rsidRPr="001C0408">
        <w:rPr>
          <w:rFonts w:cs="Times New Roman"/>
        </w:rPr>
        <w:t xml:space="preserve">ubrzao proces programiranja, </w:t>
      </w:r>
    </w:p>
    <w:p w14:paraId="1BB78E46" w14:textId="77777777" w:rsidR="00F16494" w:rsidRPr="001C0408" w:rsidRDefault="00F16494" w:rsidP="00F16494">
      <w:pPr>
        <w:pStyle w:val="ListParagraph"/>
        <w:numPr>
          <w:ilvl w:val="1"/>
          <w:numId w:val="18"/>
        </w:numPr>
        <w:ind w:left="851" w:hanging="284"/>
        <w:contextualSpacing w:val="0"/>
        <w:jc w:val="both"/>
        <w:rPr>
          <w:rFonts w:cs="Times New Roman"/>
        </w:rPr>
      </w:pPr>
      <w:r w:rsidRPr="001C0408">
        <w:rPr>
          <w:rFonts w:cs="Times New Roman"/>
        </w:rPr>
        <w:t>osiguralo prepoznavanje potreba korisnika (gospodarstva) i uspostavile adekvatne mjere,</w:t>
      </w:r>
    </w:p>
    <w:p w14:paraId="6BD9D883" w14:textId="77777777" w:rsidR="00F16494" w:rsidRPr="001C0408" w:rsidRDefault="00F16494" w:rsidP="00F16494">
      <w:pPr>
        <w:pStyle w:val="ListParagraph"/>
        <w:numPr>
          <w:ilvl w:val="1"/>
          <w:numId w:val="18"/>
        </w:numPr>
        <w:ind w:left="851" w:hanging="284"/>
        <w:contextualSpacing w:val="0"/>
        <w:jc w:val="both"/>
        <w:rPr>
          <w:rFonts w:cs="Times New Roman"/>
        </w:rPr>
      </w:pPr>
      <w:r w:rsidRPr="001C0408">
        <w:rPr>
          <w:rFonts w:cs="Times New Roman"/>
        </w:rPr>
        <w:t>pojednostavila dokumentacija i procesi provjere te ubrzala isplata sredstava.</w:t>
      </w:r>
    </w:p>
    <w:p w14:paraId="1F5413F3" w14:textId="77777777" w:rsidR="00F16494" w:rsidRPr="001C0408" w:rsidRDefault="00F16494" w:rsidP="00F16494">
      <w:pPr>
        <w:jc w:val="both"/>
        <w:rPr>
          <w:rFonts w:cs="Times New Roman"/>
          <w:b/>
          <w:bCs/>
        </w:rPr>
      </w:pPr>
    </w:p>
    <w:p w14:paraId="778E1C94" w14:textId="77777777" w:rsidR="00F16494" w:rsidRPr="001C0408" w:rsidRDefault="00F16494" w:rsidP="00F16494">
      <w:pPr>
        <w:pStyle w:val="ListParagraph"/>
        <w:numPr>
          <w:ilvl w:val="0"/>
          <w:numId w:val="21"/>
        </w:numPr>
        <w:ind w:left="426" w:hanging="426"/>
        <w:contextualSpacing w:val="0"/>
        <w:jc w:val="both"/>
        <w:rPr>
          <w:rFonts w:cs="Times New Roman"/>
        </w:rPr>
      </w:pPr>
      <w:r w:rsidRPr="001C0408">
        <w:rPr>
          <w:rFonts w:cs="Times New Roman"/>
          <w:b/>
          <w:bCs/>
        </w:rPr>
        <w:t xml:space="preserve">Potaknuti učinkovitu i transparentnu suradnju privatnoga i javnog sektora s nabavom s najboljom vrijednosti za novac te potaknuti zelenu javnu nabavu radi </w:t>
      </w:r>
      <w:r w:rsidRPr="001C0408">
        <w:rPr>
          <w:rFonts w:cs="Times New Roman"/>
          <w:b/>
          <w:bCs/>
        </w:rPr>
        <w:lastRenderedPageBreak/>
        <w:t xml:space="preserve">poticanja eko-inovacija u gospodarstvu. </w:t>
      </w:r>
      <w:r w:rsidRPr="001C0408">
        <w:rPr>
          <w:rFonts w:cs="Times New Roman"/>
        </w:rPr>
        <w:t>Osnovne prednosti ovog modela nabave u odnosu na tradicionalni:</w:t>
      </w:r>
    </w:p>
    <w:p w14:paraId="21EB48A9" w14:textId="77777777" w:rsidR="00F16494" w:rsidRPr="001C0408" w:rsidRDefault="00F16494" w:rsidP="00F16494">
      <w:pPr>
        <w:pStyle w:val="ListParagraph"/>
        <w:numPr>
          <w:ilvl w:val="1"/>
          <w:numId w:val="18"/>
        </w:numPr>
        <w:ind w:left="851" w:hanging="284"/>
        <w:contextualSpacing w:val="0"/>
        <w:jc w:val="both"/>
        <w:rPr>
          <w:rFonts w:cs="Times New Roman"/>
        </w:rPr>
      </w:pPr>
      <w:r w:rsidRPr="001C0408">
        <w:rPr>
          <w:rFonts w:cs="Times New Roman"/>
        </w:rPr>
        <w:t>administrativno i operativno rasterećenje javnog sektora (jednostavnija priprema te provedba projekta) uz efikasniju realizaciju projekata s većom vrijednosti za novac;</w:t>
      </w:r>
    </w:p>
    <w:p w14:paraId="5A4F4EA3" w14:textId="723D735F" w:rsidR="00F16494" w:rsidRPr="001C0408" w:rsidRDefault="00F16494" w:rsidP="00F16494">
      <w:pPr>
        <w:pStyle w:val="ListParagraph"/>
        <w:numPr>
          <w:ilvl w:val="1"/>
          <w:numId w:val="18"/>
        </w:numPr>
        <w:ind w:left="851" w:hanging="284"/>
        <w:contextualSpacing w:val="0"/>
        <w:jc w:val="both"/>
        <w:rPr>
          <w:rFonts w:cs="Times New Roman"/>
        </w:rPr>
      </w:pPr>
      <w:r w:rsidRPr="3B3D77E7">
        <w:rPr>
          <w:rFonts w:cs="Times New Roman"/>
        </w:rPr>
        <w:t xml:space="preserve">veća i jednostavnija apsorpcija EU fondova uz realizaciju projekata </w:t>
      </w:r>
      <w:r w:rsidR="00277240">
        <w:rPr>
          <w:rFonts w:cs="Times New Roman"/>
        </w:rPr>
        <w:t xml:space="preserve">uz minimalne </w:t>
      </w:r>
      <w:r w:rsidRPr="3B3D77E7">
        <w:rPr>
          <w:rFonts w:cs="Times New Roman"/>
        </w:rPr>
        <w:t>nepredviđen</w:t>
      </w:r>
      <w:r w:rsidR="00277240">
        <w:rPr>
          <w:rFonts w:cs="Times New Roman"/>
        </w:rPr>
        <w:t>e</w:t>
      </w:r>
      <w:r w:rsidRPr="3B3D77E7">
        <w:rPr>
          <w:rFonts w:cs="Times New Roman"/>
        </w:rPr>
        <w:t xml:space="preserve"> troškov</w:t>
      </w:r>
      <w:r w:rsidR="00277240">
        <w:rPr>
          <w:rFonts w:cs="Times New Roman"/>
        </w:rPr>
        <w:t xml:space="preserve">e </w:t>
      </w:r>
      <w:r w:rsidR="00F306B4">
        <w:rPr>
          <w:rFonts w:cs="Times New Roman"/>
        </w:rPr>
        <w:t>te predvidive i povedive uvjete je</w:t>
      </w:r>
      <w:r w:rsidR="00F72F58">
        <w:rPr>
          <w:rFonts w:cs="Times New Roman"/>
        </w:rPr>
        <w:t>dnake i prihvatljive za investitore</w:t>
      </w:r>
      <w:r w:rsidRPr="3B3D77E7">
        <w:rPr>
          <w:rFonts w:cs="Times New Roman"/>
        </w:rPr>
        <w:t>;</w:t>
      </w:r>
    </w:p>
    <w:p w14:paraId="2F88BBDA" w14:textId="77777777" w:rsidR="00F16494" w:rsidRPr="001C0408" w:rsidRDefault="00F16494" w:rsidP="00F16494">
      <w:pPr>
        <w:pStyle w:val="ListParagraph"/>
        <w:numPr>
          <w:ilvl w:val="1"/>
          <w:numId w:val="18"/>
        </w:numPr>
        <w:ind w:left="851" w:hanging="284"/>
        <w:contextualSpacing w:val="0"/>
        <w:jc w:val="both"/>
        <w:rPr>
          <w:rFonts w:cs="Times New Roman"/>
        </w:rPr>
      </w:pPr>
      <w:r w:rsidRPr="001C0408">
        <w:rPr>
          <w:rFonts w:cs="Times New Roman"/>
        </w:rPr>
        <w:t>pokretanja većeg broja projekata u značajno kraćem vremenskom periodu uz izravan pozitivan utjecaj na javne financije (prihodi od poreza, prireza i doprinosa intenzivno rastu uslijed povećanja gospodarske aktivnosti u građevinskom i ostalim sektorima).</w:t>
      </w:r>
    </w:p>
    <w:p w14:paraId="2B9B5E9B" w14:textId="77777777" w:rsidR="00F16494" w:rsidRPr="001C0408" w:rsidRDefault="00F16494" w:rsidP="00F16494">
      <w:pPr>
        <w:pStyle w:val="ListParagraph"/>
        <w:jc w:val="both"/>
        <w:rPr>
          <w:rFonts w:cs="Times New Roman"/>
          <w:b/>
          <w:bCs/>
        </w:rPr>
      </w:pPr>
    </w:p>
    <w:p w14:paraId="028933EF" w14:textId="77777777" w:rsidR="00F16494" w:rsidRPr="001C0408" w:rsidRDefault="00F16494" w:rsidP="00F16494">
      <w:pPr>
        <w:pStyle w:val="ListParagraph"/>
        <w:numPr>
          <w:ilvl w:val="0"/>
          <w:numId w:val="21"/>
        </w:numPr>
        <w:ind w:left="426" w:hanging="426"/>
        <w:contextualSpacing w:val="0"/>
        <w:jc w:val="both"/>
        <w:rPr>
          <w:rFonts w:cs="Times New Roman"/>
        </w:rPr>
      </w:pPr>
      <w:r w:rsidRPr="61E915EF">
        <w:rPr>
          <w:rFonts w:cs="Times New Roman"/>
          <w:b/>
          <w:bCs/>
        </w:rPr>
        <w:t>Već u 2021. godini uz korištenje raspoloživih EU fondova potaknuti val ulaganja u:</w:t>
      </w:r>
    </w:p>
    <w:p w14:paraId="649A0035" w14:textId="77777777" w:rsidR="00F16494" w:rsidRPr="001C0408" w:rsidRDefault="00F16494" w:rsidP="00F16494">
      <w:pPr>
        <w:pStyle w:val="ListParagraph"/>
        <w:numPr>
          <w:ilvl w:val="1"/>
          <w:numId w:val="18"/>
        </w:numPr>
        <w:ind w:left="851" w:hanging="284"/>
        <w:contextualSpacing w:val="0"/>
        <w:jc w:val="both"/>
        <w:rPr>
          <w:rFonts w:cs="Times New Roman"/>
        </w:rPr>
      </w:pPr>
      <w:r w:rsidRPr="001C0408">
        <w:rPr>
          <w:rFonts w:cs="Times New Roman"/>
        </w:rPr>
        <w:t>Dubinsku energetsku obnovu fonda zgrada što uključuju i obnovu Grada Zagreba i okolice nakon potresa te novu izgradnju vodeći pritom računa o problemu energetskog siromaštva;</w:t>
      </w:r>
    </w:p>
    <w:p w14:paraId="4D0B5354" w14:textId="31D37A45" w:rsidR="00F16494" w:rsidRDefault="00F16494" w:rsidP="3B3D77E7">
      <w:pPr>
        <w:pStyle w:val="ListParagraph"/>
        <w:numPr>
          <w:ilvl w:val="1"/>
          <w:numId w:val="18"/>
        </w:numPr>
        <w:ind w:left="851" w:hanging="284"/>
        <w:jc w:val="both"/>
        <w:rPr>
          <w:rFonts w:cs="Times New Roman"/>
        </w:rPr>
      </w:pPr>
      <w:r w:rsidRPr="3B3D77E7">
        <w:rPr>
          <w:rFonts w:cs="Times New Roman"/>
        </w:rPr>
        <w:t>Domaće i čiste izvore energije, velike sunčane i vjetroelektrane koje mobiliziraju javni i privatni kapital, ali i elektrane na krovovima (građani, poduzetnici i javne zgrade) i geotermalnu energiju</w:t>
      </w:r>
      <w:r w:rsidR="00CE6A05">
        <w:rPr>
          <w:rFonts w:cs="Times New Roman"/>
        </w:rPr>
        <w:t xml:space="preserve"> pri čemu prednost treba davati ulaganjima koja se mogu lako multiplicirati umjesto forsiranja velikih infrastrukturnih projekata</w:t>
      </w:r>
      <w:r w:rsidRPr="3B3D77E7">
        <w:rPr>
          <w:rFonts w:cs="Times New Roman"/>
        </w:rPr>
        <w:t>;</w:t>
      </w:r>
    </w:p>
    <w:p w14:paraId="1C404783" w14:textId="11979EF2" w:rsidR="75F56AC3" w:rsidRDefault="75F56AC3" w:rsidP="3B3D77E7">
      <w:pPr>
        <w:pStyle w:val="ListParagraph"/>
        <w:numPr>
          <w:ilvl w:val="1"/>
          <w:numId w:val="18"/>
        </w:numPr>
        <w:ind w:left="851" w:hanging="284"/>
        <w:jc w:val="both"/>
        <w:rPr>
          <w:rFonts w:asciiTheme="minorHAnsi" w:eastAsiaTheme="minorEastAsia" w:hAnsiTheme="minorHAnsi"/>
          <w:szCs w:val="24"/>
        </w:rPr>
      </w:pPr>
      <w:r w:rsidRPr="3B3D77E7">
        <w:rPr>
          <w:rFonts w:cs="Times New Roman"/>
        </w:rPr>
        <w:t>Jačanje i revitalizaciju energetske infrastrukture (distribucijska i prijenosna mreža) te uvođenje naprednih sustava</w:t>
      </w:r>
      <w:r w:rsidR="005464A2">
        <w:rPr>
          <w:rFonts w:cs="Times New Roman"/>
        </w:rPr>
        <w:t xml:space="preserve"> kao što su skladištenje energije</w:t>
      </w:r>
      <w:r w:rsidRPr="3B3D77E7">
        <w:rPr>
          <w:rFonts w:cs="Times New Roman"/>
        </w:rPr>
        <w:t>, što je preduvjet da bi se mogli povećati kapaciteti obnovljivih izvora energije i integrirati u elektroenergetsku mrežu te kako se povećala energetska učinkovitost infrastrukture (npr. gubici u toplinarstvu)</w:t>
      </w:r>
    </w:p>
    <w:p w14:paraId="3BDD2484" w14:textId="43C3CB30" w:rsidR="00F16494" w:rsidRPr="001C0408" w:rsidRDefault="00F16494" w:rsidP="00F16494">
      <w:pPr>
        <w:pStyle w:val="ListParagraph"/>
        <w:numPr>
          <w:ilvl w:val="1"/>
          <w:numId w:val="18"/>
        </w:numPr>
        <w:ind w:left="851" w:hanging="284"/>
        <w:contextualSpacing w:val="0"/>
        <w:jc w:val="both"/>
        <w:rPr>
          <w:rFonts w:cs="Times New Roman"/>
        </w:rPr>
      </w:pPr>
      <w:r w:rsidRPr="001C0408">
        <w:rPr>
          <w:rFonts w:cs="Times New Roman"/>
        </w:rPr>
        <w:t>Dekarbonizaciju sektora prometa (</w:t>
      </w:r>
      <w:r w:rsidR="00357286">
        <w:rPr>
          <w:rFonts w:cs="Times New Roman"/>
        </w:rPr>
        <w:t xml:space="preserve">posebno </w:t>
      </w:r>
      <w:r w:rsidRPr="001C0408">
        <w:rPr>
          <w:rFonts w:cs="Times New Roman"/>
        </w:rPr>
        <w:t>elektromobilnost</w:t>
      </w:r>
      <w:r w:rsidR="00357286">
        <w:rPr>
          <w:rFonts w:cs="Times New Roman"/>
        </w:rPr>
        <w:t xml:space="preserve"> za što se predlaže i </w:t>
      </w:r>
      <w:r w:rsidR="005B4596">
        <w:rPr>
          <w:rFonts w:cs="Times New Roman"/>
        </w:rPr>
        <w:t>donošenje posebnog zakona</w:t>
      </w:r>
      <w:r w:rsidRPr="001C0408">
        <w:rPr>
          <w:rFonts w:cs="Times New Roman"/>
        </w:rPr>
        <w:t>, šinski i vodeni prijevoz robe, poboljšanje funkcioniranja javnog prijevoza u gradovima uz povećanje intermodalnosti, postupno uvođenje zelenog vodika, pješačka, biciklistička i zelena infrastruktura);</w:t>
      </w:r>
    </w:p>
    <w:p w14:paraId="2DCEB665" w14:textId="77777777" w:rsidR="00F16494" w:rsidRPr="001C0408" w:rsidRDefault="00F16494" w:rsidP="00F16494">
      <w:pPr>
        <w:pStyle w:val="ListParagraph"/>
        <w:numPr>
          <w:ilvl w:val="1"/>
          <w:numId w:val="18"/>
        </w:numPr>
        <w:ind w:left="851" w:hanging="284"/>
        <w:contextualSpacing w:val="0"/>
        <w:jc w:val="both"/>
        <w:rPr>
          <w:rFonts w:cs="Times New Roman"/>
        </w:rPr>
      </w:pPr>
      <w:r w:rsidRPr="3B3D77E7">
        <w:rPr>
          <w:rFonts w:cs="Times New Roman"/>
        </w:rPr>
        <w:t>Uvođenje suvremenih tehnologija i inovacija u poljoprivredu, lokalnu i ekološku proizvodnju hrane, jačanje otpornosti poljoprivrednih kultura na ekstremne vremenske uvjete, proizvodnju hrane i jačanje malih poljoprivrednika;</w:t>
      </w:r>
    </w:p>
    <w:p w14:paraId="6E381462" w14:textId="77777777" w:rsidR="00F16494" w:rsidRPr="001C0408" w:rsidRDefault="00F16494" w:rsidP="00F16494">
      <w:pPr>
        <w:pStyle w:val="ListParagraph"/>
        <w:numPr>
          <w:ilvl w:val="1"/>
          <w:numId w:val="18"/>
        </w:numPr>
        <w:ind w:left="851" w:hanging="284"/>
        <w:contextualSpacing w:val="0"/>
        <w:jc w:val="both"/>
        <w:rPr>
          <w:rFonts w:cs="Times New Roman"/>
        </w:rPr>
      </w:pPr>
      <w:r w:rsidRPr="001C0408">
        <w:rPr>
          <w:rFonts w:cs="Times New Roman"/>
        </w:rPr>
        <w:t>Jačanje otpornosti na učinke klimatskih promjena (jačanje otpornosti infrastrukture, korištenje zelenih i plavih tehnologija, prilagodba sektora zdravstva);</w:t>
      </w:r>
    </w:p>
    <w:p w14:paraId="7872EFAE" w14:textId="77777777" w:rsidR="00F16494" w:rsidRPr="001C0408" w:rsidRDefault="00F16494" w:rsidP="00F16494">
      <w:pPr>
        <w:pStyle w:val="ListParagraph"/>
        <w:numPr>
          <w:ilvl w:val="1"/>
          <w:numId w:val="18"/>
        </w:numPr>
        <w:ind w:left="851" w:hanging="284"/>
        <w:contextualSpacing w:val="0"/>
        <w:jc w:val="both"/>
        <w:rPr>
          <w:rFonts w:cs="Times New Roman"/>
        </w:rPr>
      </w:pPr>
      <w:r w:rsidRPr="001C0408">
        <w:rPr>
          <w:rFonts w:cs="Times New Roman"/>
        </w:rPr>
        <w:t>Znanost, istraživanje i inovacije, edukaciju i prekvalifikaciju potrebnih kadrova, poticanje start-up scene i u razvoj start-up inkubatora u svim većim gradskim središtima te programe akceleracije za poduzetnike i inovatore;</w:t>
      </w:r>
    </w:p>
    <w:p w14:paraId="6C61DE9E" w14:textId="77777777" w:rsidR="00F16494" w:rsidRPr="001C0408" w:rsidRDefault="00F16494" w:rsidP="00F16494">
      <w:pPr>
        <w:pStyle w:val="ListParagraph"/>
        <w:numPr>
          <w:ilvl w:val="1"/>
          <w:numId w:val="18"/>
        </w:numPr>
        <w:ind w:left="851" w:hanging="284"/>
        <w:contextualSpacing w:val="0"/>
        <w:jc w:val="both"/>
        <w:rPr>
          <w:rFonts w:cs="Times New Roman"/>
        </w:rPr>
      </w:pPr>
      <w:r w:rsidRPr="001C0408">
        <w:rPr>
          <w:rFonts w:cs="Times New Roman"/>
        </w:rPr>
        <w:t xml:space="preserve">Digitalizaciju javne uprave i administracije i </w:t>
      </w:r>
      <w:r w:rsidRPr="001C0408">
        <w:rPr>
          <w:rFonts w:cs="Times New Roman"/>
          <w:bCs/>
        </w:rPr>
        <w:t>gospodarstva u cilju izgradnje pametnih sustava upravljanja i efikasnijih procesa te povećanja otpornosti poslovanja u kriznim situacijama;</w:t>
      </w:r>
    </w:p>
    <w:p w14:paraId="01A64FB5" w14:textId="77777777" w:rsidR="00F16494" w:rsidRPr="001C0408" w:rsidRDefault="00F16494" w:rsidP="00F16494">
      <w:pPr>
        <w:pStyle w:val="ListParagraph"/>
        <w:numPr>
          <w:ilvl w:val="1"/>
          <w:numId w:val="18"/>
        </w:numPr>
        <w:ind w:left="851" w:hanging="284"/>
        <w:contextualSpacing w:val="0"/>
        <w:jc w:val="both"/>
        <w:rPr>
          <w:rFonts w:cs="Times New Roman"/>
        </w:rPr>
      </w:pPr>
      <w:r w:rsidRPr="001C0408">
        <w:rPr>
          <w:rFonts w:cs="Times New Roman"/>
          <w:color w:val="000000"/>
        </w:rPr>
        <w:t>Kvalitetne i inovativne edukativne ekstrakurikularne programe u školama za učenike, edukaciju i stručna usavršavanja nastavnika te u ulogu organizacija civilnog društva kako bi radile u lokalnim zajednicama, pružale dodatne usluge koje povećavaju kvalitetu života, socijalnu jednakost i pravednost te podižu aktivno uključivanje građana u lokalni razvoj.</w:t>
      </w:r>
    </w:p>
    <w:p w14:paraId="3197EDD0" w14:textId="77777777" w:rsidR="00F16494" w:rsidRPr="001C0408" w:rsidRDefault="00F16494" w:rsidP="00F52E08">
      <w:pPr>
        <w:spacing w:line="276" w:lineRule="auto"/>
        <w:jc w:val="both"/>
        <w:rPr>
          <w:rFonts w:cs="Times New Roman"/>
          <w:szCs w:val="24"/>
        </w:rPr>
      </w:pPr>
    </w:p>
    <w:p w14:paraId="54982C29" w14:textId="77777777" w:rsidR="00B97431" w:rsidRPr="001C0408" w:rsidRDefault="00B97431" w:rsidP="00F52E08">
      <w:pPr>
        <w:spacing w:line="276" w:lineRule="auto"/>
        <w:jc w:val="both"/>
        <w:rPr>
          <w:rFonts w:cs="Times New Roman"/>
          <w:szCs w:val="24"/>
        </w:rPr>
      </w:pPr>
    </w:p>
    <w:p w14:paraId="73F0AE65" w14:textId="2540CE3B" w:rsidR="00E14FFF" w:rsidRPr="001C0408" w:rsidRDefault="00D15FAF" w:rsidP="00E14FFF">
      <w:pPr>
        <w:spacing w:line="276" w:lineRule="auto"/>
        <w:rPr>
          <w:rFonts w:cs="Times New Roman"/>
          <w:szCs w:val="24"/>
        </w:rPr>
      </w:pPr>
      <w:r w:rsidRPr="001C0408">
        <w:rPr>
          <w:rFonts w:cs="Times New Roman"/>
          <w:szCs w:val="24"/>
        </w:rPr>
        <w:t>Smjernica su usvojene na 2. sjednici Vijeća predsjednika Republike Hrvatske za energetsku tranziciju</w:t>
      </w:r>
      <w:r w:rsidR="00E14FFF" w:rsidRPr="001C0408">
        <w:rPr>
          <w:rFonts w:cs="Times New Roman"/>
          <w:szCs w:val="24"/>
        </w:rPr>
        <w:t xml:space="preserve"> u Zagrebu, </w:t>
      </w:r>
      <w:r w:rsidR="003B4AE7">
        <w:rPr>
          <w:rFonts w:cs="Times New Roman"/>
          <w:szCs w:val="24"/>
        </w:rPr>
        <w:t>12</w:t>
      </w:r>
      <w:r w:rsidR="00E14FFF" w:rsidRPr="001C0408">
        <w:rPr>
          <w:rFonts w:cs="Times New Roman"/>
          <w:szCs w:val="24"/>
        </w:rPr>
        <w:t xml:space="preserve">. </w:t>
      </w:r>
      <w:r w:rsidR="008A5016">
        <w:rPr>
          <w:rFonts w:cs="Times New Roman"/>
          <w:szCs w:val="24"/>
        </w:rPr>
        <w:t>listopada</w:t>
      </w:r>
      <w:r w:rsidR="008A5016" w:rsidRPr="001C0408">
        <w:rPr>
          <w:rFonts w:cs="Times New Roman"/>
          <w:szCs w:val="24"/>
        </w:rPr>
        <w:t xml:space="preserve"> </w:t>
      </w:r>
      <w:r w:rsidR="00E14FFF" w:rsidRPr="001C0408">
        <w:rPr>
          <w:rFonts w:cs="Times New Roman"/>
          <w:szCs w:val="24"/>
        </w:rPr>
        <w:t xml:space="preserve">2020. </w:t>
      </w:r>
    </w:p>
    <w:p w14:paraId="58F6B2D3" w14:textId="77777777" w:rsidR="00E14FFF" w:rsidRPr="001C0408" w:rsidRDefault="00E14FFF" w:rsidP="00AA4FA3">
      <w:pPr>
        <w:spacing w:line="276" w:lineRule="auto"/>
        <w:rPr>
          <w:rFonts w:cs="Times New Roman"/>
          <w:szCs w:val="24"/>
        </w:rPr>
      </w:pPr>
    </w:p>
    <w:p w14:paraId="2A650B09" w14:textId="77777777" w:rsidR="00AA4FA3" w:rsidRPr="001C0408" w:rsidRDefault="00AA4FA3" w:rsidP="00AA4FA3">
      <w:pPr>
        <w:spacing w:line="276" w:lineRule="auto"/>
        <w:rPr>
          <w:rFonts w:cs="Times New Roman"/>
          <w:szCs w:val="24"/>
        </w:rPr>
      </w:pPr>
      <w:r w:rsidRPr="001C0408">
        <w:rPr>
          <w:rFonts w:cs="Times New Roman"/>
          <w:szCs w:val="24"/>
        </w:rPr>
        <w:t xml:space="preserve">KLASA; </w:t>
      </w:r>
    </w:p>
    <w:p w14:paraId="01651318" w14:textId="77777777" w:rsidR="00AA4FA3" w:rsidRPr="001C0408" w:rsidRDefault="00AA4FA3" w:rsidP="00AA4FA3">
      <w:pPr>
        <w:spacing w:line="276" w:lineRule="auto"/>
        <w:rPr>
          <w:rFonts w:cs="Times New Roman"/>
          <w:szCs w:val="24"/>
        </w:rPr>
      </w:pPr>
      <w:r w:rsidRPr="001C0408">
        <w:rPr>
          <w:rFonts w:cs="Times New Roman"/>
          <w:szCs w:val="24"/>
        </w:rPr>
        <w:t xml:space="preserve">URBROJ: </w:t>
      </w:r>
    </w:p>
    <w:p w14:paraId="61A74B66" w14:textId="4EF7ACE4" w:rsidR="000B02CC" w:rsidRPr="001C0408" w:rsidRDefault="000B02CC" w:rsidP="000B02CC">
      <w:pPr>
        <w:spacing w:line="276" w:lineRule="auto"/>
        <w:rPr>
          <w:rFonts w:cs="Times New Roman"/>
          <w:szCs w:val="24"/>
        </w:rPr>
      </w:pPr>
    </w:p>
    <w:tbl>
      <w:tblPr>
        <w:tblStyle w:val="TableGrid"/>
        <w:tblW w:w="0" w:type="auto"/>
        <w:tblLook w:val="04A0" w:firstRow="1" w:lastRow="0" w:firstColumn="1" w:lastColumn="0" w:noHBand="0" w:noVBand="1"/>
      </w:tblPr>
      <w:tblGrid>
        <w:gridCol w:w="2776"/>
        <w:gridCol w:w="6240"/>
      </w:tblGrid>
      <w:tr w:rsidR="00E77F10" w14:paraId="1D51F68A" w14:textId="77777777" w:rsidTr="00F836FD">
        <w:tc>
          <w:tcPr>
            <w:tcW w:w="2776" w:type="dxa"/>
          </w:tcPr>
          <w:p w14:paraId="1E6341CE" w14:textId="0FCB3D24" w:rsidR="00E77F10" w:rsidRDefault="00E77F10" w:rsidP="000B02CC">
            <w:pPr>
              <w:spacing w:line="276" w:lineRule="auto"/>
              <w:rPr>
                <w:szCs w:val="24"/>
              </w:rPr>
            </w:pPr>
            <w:r>
              <w:rPr>
                <w:noProof/>
                <w:lang w:eastAsia="hr-HR"/>
              </w:rPr>
              <mc:AlternateContent>
                <mc:Choice Requires="wps">
                  <w:drawing>
                    <wp:anchor distT="0" distB="0" distL="114300" distR="114300" simplePos="0" relativeHeight="251658241" behindDoc="0" locked="0" layoutInCell="1" allowOverlap="1" wp14:anchorId="02F55916" wp14:editId="6068CBAA">
                      <wp:simplePos x="0" y="0"/>
                      <wp:positionH relativeFrom="column">
                        <wp:posOffset>0</wp:posOffset>
                      </wp:positionH>
                      <wp:positionV relativeFrom="paragraph">
                        <wp:posOffset>203200</wp:posOffset>
                      </wp:positionV>
                      <wp:extent cx="1828800" cy="18288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E2D6B8A" w14:textId="3AB5AA73" w:rsidR="00E77F10" w:rsidRPr="00E77F10" w:rsidRDefault="00E77F10" w:rsidP="00E77F10">
                                  <w:pPr>
                                    <w:spacing w:line="276" w:lineRule="auto"/>
                                    <w:jc w:val="center"/>
                                    <w:rPr>
                                      <w:sz w:val="20"/>
                                      <w:szCs w:val="20"/>
                                    </w:rPr>
                                  </w:pPr>
                                  <w:r w:rsidRPr="00E77F10">
                                    <w:rPr>
                                      <w:sz w:val="20"/>
                                      <w:szCs w:val="20"/>
                                    </w:rPr>
                                    <w:object w:dxaOrig="591" w:dyaOrig="730" w14:anchorId="0640C760">
                                      <v:shape id="_x0000_i1028" type="#_x0000_t75" style="width:29.55pt;height:36.5pt" o:ole="">
                                        <v:imagedata r:id="rId13" o:title=""/>
                                      </v:shape>
                                      <o:OLEObject Type="Embed" ProgID="MSDraw" ShapeID="_x0000_i1028" DrawAspect="Content" ObjectID="_1664016365" r:id="rId15">
                                        <o:FieldCodes>\* mergeformat</o:FieldCodes>
                                      </o:OLEObject>
                                    </w:object>
                                  </w:r>
                                </w:p>
                                <w:p w14:paraId="2F8379C8" w14:textId="77777777" w:rsidR="00E77F10" w:rsidRPr="00E77F10" w:rsidRDefault="00E77F10" w:rsidP="00E77F10">
                                  <w:pPr>
                                    <w:spacing w:line="276" w:lineRule="auto"/>
                                    <w:jc w:val="center"/>
                                    <w:rPr>
                                      <w:sz w:val="20"/>
                                      <w:szCs w:val="20"/>
                                    </w:rPr>
                                  </w:pPr>
                                  <w:r w:rsidRPr="00E77F10">
                                    <w:rPr>
                                      <w:sz w:val="20"/>
                                      <w:szCs w:val="20"/>
                                    </w:rPr>
                                    <w:t>REPUBLIKA HRVATSKA</w:t>
                                  </w:r>
                                </w:p>
                                <w:p w14:paraId="61E3AFD1" w14:textId="77777777" w:rsidR="00E77F10" w:rsidRPr="00E77F10" w:rsidRDefault="00E77F10" w:rsidP="00E77F10">
                                  <w:pPr>
                                    <w:jc w:val="center"/>
                                    <w:rPr>
                                      <w:sz w:val="20"/>
                                      <w:szCs w:val="20"/>
                                    </w:rPr>
                                  </w:pPr>
                                  <w:r w:rsidRPr="00E77F10">
                                    <w:rPr>
                                      <w:sz w:val="20"/>
                                      <w:szCs w:val="20"/>
                                    </w:rPr>
                                    <w:t>URED PREDSJEDNIKA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55916" id="Text Box 2" o:spid="_x0000_s1027" type="#_x0000_t202" style="position:absolute;margin-left:0;margin-top:16pt;width:2in;height:2in;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" filled="f" stroked="f" strokeweight=".5pt">
                      <v:textbox style="mso-fit-shape-to-text:t">
                        <w:txbxContent>
                          <w:p w14:paraId="7E2D6B8A" w14:textId="3AB5AA73" w:rsidR="00E77F10" w:rsidRPr="00E77F10" w:rsidRDefault="00E77F10" w:rsidP="00E77F10">
                            <w:pPr>
                              <w:spacing w:line="276" w:lineRule="auto"/>
                              <w:jc w:val="center"/>
                              <w:rPr>
                                <w:sz w:val="20"/>
                                <w:szCs w:val="20"/>
                              </w:rPr>
                            </w:pPr>
                            <w:r w:rsidRPr="00E77F10">
                              <w:rPr>
                                <w:sz w:val="20"/>
                                <w:szCs w:val="20"/>
                              </w:rPr>
                              <w:object w:dxaOrig="591" w:dyaOrig="730" w14:anchorId="0640C760">
                                <v:shape id="_x0000_i1028" type="#_x0000_t75" style="width:29.55pt;height:36.5pt">
                                  <v:imagedata r:id="rId13" o:title=""/>
                                </v:shape>
                                <o:OLEObject Type="Embed" ProgID="MSDraw" ShapeID="_x0000_i1028" DrawAspect="Content" ObjectID="_1664003719" r:id="rId16">
                                  <o:FieldCodes>\* mergeformat</o:FieldCodes>
                                </o:OLEObject>
                              </w:object>
                            </w:r>
                          </w:p>
                          <w:p w14:paraId="2F8379C8" w14:textId="77777777" w:rsidR="00E77F10" w:rsidRPr="00E77F10" w:rsidRDefault="00E77F10" w:rsidP="00E77F10">
                            <w:pPr>
                              <w:spacing w:line="276" w:lineRule="auto"/>
                              <w:jc w:val="center"/>
                              <w:rPr>
                                <w:sz w:val="20"/>
                                <w:szCs w:val="20"/>
                              </w:rPr>
                            </w:pPr>
                            <w:r w:rsidRPr="00E77F10">
                              <w:rPr>
                                <w:sz w:val="20"/>
                                <w:szCs w:val="20"/>
                              </w:rPr>
                              <w:t>REPUBLIKA HRVATSKA</w:t>
                            </w:r>
                          </w:p>
                          <w:p w14:paraId="61E3AFD1" w14:textId="77777777" w:rsidR="00E77F10" w:rsidRPr="00E77F10" w:rsidRDefault="00E77F10" w:rsidP="00E77F10">
                            <w:pPr>
                              <w:jc w:val="center"/>
                              <w:rPr>
                                <w:sz w:val="20"/>
                                <w:szCs w:val="20"/>
                              </w:rPr>
                            </w:pPr>
                            <w:r w:rsidRPr="00E77F10">
                              <w:rPr>
                                <w:sz w:val="20"/>
                                <w:szCs w:val="20"/>
                              </w:rPr>
                              <w:t>URED PREDSJEDNIKA</w:t>
                            </w:r>
                          </w:p>
                        </w:txbxContent>
                      </v:textbox>
                      <w10:wrap type="square"/>
                    </v:shape>
                  </w:pict>
                </mc:Fallback>
              </mc:AlternateContent>
            </w:r>
          </w:p>
        </w:tc>
        <w:tc>
          <w:tcPr>
            <w:tcW w:w="6240" w:type="dxa"/>
          </w:tcPr>
          <w:p w14:paraId="506F0B9F" w14:textId="77777777" w:rsidR="00E77F10" w:rsidRDefault="00E77F10" w:rsidP="000B02CC">
            <w:pPr>
              <w:spacing w:line="276" w:lineRule="auto"/>
              <w:rPr>
                <w:szCs w:val="24"/>
              </w:rPr>
            </w:pPr>
          </w:p>
          <w:p w14:paraId="37E5BA86" w14:textId="77777777" w:rsidR="00E77F10" w:rsidRPr="008C5BBD" w:rsidRDefault="00CD41C4" w:rsidP="00946B18">
            <w:pPr>
              <w:spacing w:line="276" w:lineRule="auto"/>
              <w:jc w:val="center"/>
              <w:rPr>
                <w:b/>
                <w:bCs/>
                <w:sz w:val="20"/>
                <w:szCs w:val="20"/>
              </w:rPr>
            </w:pPr>
            <w:r w:rsidRPr="008C5BBD">
              <w:rPr>
                <w:b/>
                <w:bCs/>
                <w:sz w:val="20"/>
                <w:szCs w:val="20"/>
              </w:rPr>
              <w:t>Vijeće predsjednika Republike Hrvatske za energetsku tranziciju</w:t>
            </w:r>
          </w:p>
          <w:p w14:paraId="46735C47" w14:textId="77777777" w:rsidR="00946B18" w:rsidRPr="008C5BBD" w:rsidRDefault="00946B18" w:rsidP="00946B18">
            <w:pPr>
              <w:spacing w:line="276" w:lineRule="auto"/>
              <w:jc w:val="center"/>
              <w:rPr>
                <w:i/>
                <w:iCs/>
                <w:sz w:val="20"/>
                <w:szCs w:val="20"/>
              </w:rPr>
            </w:pPr>
            <w:r w:rsidRPr="008C5BBD">
              <w:rPr>
                <w:i/>
                <w:iCs/>
                <w:sz w:val="20"/>
                <w:szCs w:val="20"/>
              </w:rPr>
              <w:t>Predsjednik Vijeća: dr. sc. Julije Domac, Posebni savjetnik predsjednika Republike Hrvatske za energiju i klimu</w:t>
            </w:r>
          </w:p>
          <w:p w14:paraId="5A69864C" w14:textId="6BF0E1A3" w:rsidR="00946B18" w:rsidRPr="00946B18" w:rsidRDefault="00946B18" w:rsidP="00946B18">
            <w:pPr>
              <w:spacing w:line="276" w:lineRule="auto"/>
              <w:jc w:val="center"/>
              <w:rPr>
                <w:sz w:val="20"/>
                <w:szCs w:val="20"/>
              </w:rPr>
            </w:pPr>
            <w:r w:rsidRPr="008C5BBD">
              <w:rPr>
                <w:i/>
                <w:iCs/>
                <w:sz w:val="20"/>
                <w:szCs w:val="20"/>
              </w:rPr>
              <w:t>Izvjestiteljica: mr. sc. Sandra Vlašić, član</w:t>
            </w:r>
            <w:r w:rsidR="00F836FD" w:rsidRPr="008C5BBD">
              <w:rPr>
                <w:i/>
                <w:iCs/>
                <w:sz w:val="20"/>
                <w:szCs w:val="20"/>
              </w:rPr>
              <w:t>ica Vijeća</w:t>
            </w:r>
          </w:p>
        </w:tc>
      </w:tr>
      <w:tr w:rsidR="00E77F10" w14:paraId="44A00AEE" w14:textId="77777777" w:rsidTr="00E77F10">
        <w:tc>
          <w:tcPr>
            <w:tcW w:w="9016" w:type="dxa"/>
            <w:gridSpan w:val="2"/>
          </w:tcPr>
          <w:p w14:paraId="74511191" w14:textId="16BCE3B2" w:rsidR="00E77F10" w:rsidRPr="00EF2A3F" w:rsidRDefault="00E77F10" w:rsidP="00E77F10">
            <w:pPr>
              <w:ind w:right="288"/>
              <w:jc w:val="both"/>
              <w:rPr>
                <w:sz w:val="20"/>
                <w:szCs w:val="20"/>
              </w:rPr>
            </w:pPr>
            <w:r w:rsidRPr="00EF2A3F">
              <w:rPr>
                <w:sz w:val="20"/>
                <w:szCs w:val="20"/>
              </w:rPr>
              <w:t xml:space="preserve">U izradi </w:t>
            </w:r>
            <w:r w:rsidR="00F836FD" w:rsidRPr="00D74A11">
              <w:rPr>
                <w:b/>
                <w:bCs/>
                <w:i/>
                <w:iCs/>
                <w:sz w:val="20"/>
                <w:szCs w:val="20"/>
              </w:rPr>
              <w:t>Smjernica za Programiranje operativnih programa za financijsku perspektivu 2021. – 2027. i Plana za korištenje Fonda za oporavak</w:t>
            </w:r>
            <w:r w:rsidR="00F836FD" w:rsidRPr="00EF2A3F">
              <w:rPr>
                <w:sz w:val="20"/>
                <w:szCs w:val="20"/>
              </w:rPr>
              <w:t xml:space="preserve"> </w:t>
            </w:r>
            <w:r w:rsidR="004350E7">
              <w:rPr>
                <w:sz w:val="20"/>
                <w:szCs w:val="20"/>
              </w:rPr>
              <w:t xml:space="preserve">uz članove Vijeća </w:t>
            </w:r>
            <w:r w:rsidRPr="00EF2A3F">
              <w:rPr>
                <w:sz w:val="20"/>
                <w:szCs w:val="20"/>
              </w:rPr>
              <w:t xml:space="preserve">sudjelovali </w:t>
            </w:r>
            <w:r w:rsidR="00F836FD" w:rsidRPr="00EF2A3F">
              <w:rPr>
                <w:sz w:val="20"/>
                <w:szCs w:val="20"/>
              </w:rPr>
              <w:t>s</w:t>
            </w:r>
            <w:r w:rsidR="0054667E" w:rsidRPr="00EF2A3F">
              <w:rPr>
                <w:sz w:val="20"/>
                <w:szCs w:val="20"/>
              </w:rPr>
              <w:t>u i vanjski stručnjaci</w:t>
            </w:r>
            <w:r w:rsidRPr="00EF2A3F">
              <w:rPr>
                <w:sz w:val="20"/>
                <w:szCs w:val="20"/>
              </w:rPr>
              <w:t>:</w:t>
            </w:r>
          </w:p>
          <w:p w14:paraId="79A9FF58" w14:textId="689081D2" w:rsidR="00E77F10" w:rsidRPr="008C5BBD" w:rsidRDefault="00E77F10" w:rsidP="00E77F10">
            <w:pPr>
              <w:ind w:right="288"/>
              <w:jc w:val="both"/>
              <w:rPr>
                <w:i/>
                <w:iCs/>
                <w:sz w:val="20"/>
                <w:szCs w:val="20"/>
              </w:rPr>
            </w:pPr>
            <w:r w:rsidRPr="008C5BBD">
              <w:rPr>
                <w:i/>
                <w:iCs/>
                <w:sz w:val="20"/>
                <w:szCs w:val="20"/>
              </w:rPr>
              <w:t>- Ariana Vela, direktorica AVELANT d.o.o. i predsjednica upravnog vijeća Učilišta EU PROJEKTI</w:t>
            </w:r>
            <w:r w:rsidR="00EF2A3F" w:rsidRPr="008C5BBD">
              <w:rPr>
                <w:i/>
                <w:iCs/>
                <w:sz w:val="20"/>
                <w:szCs w:val="20"/>
              </w:rPr>
              <w:t>;</w:t>
            </w:r>
          </w:p>
          <w:p w14:paraId="09B5DA98" w14:textId="77777777" w:rsidR="00E77F10" w:rsidRPr="008C5BBD" w:rsidRDefault="00E77F10" w:rsidP="00E77F10">
            <w:pPr>
              <w:ind w:right="288"/>
              <w:jc w:val="both"/>
              <w:rPr>
                <w:i/>
                <w:iCs/>
                <w:sz w:val="20"/>
                <w:szCs w:val="20"/>
              </w:rPr>
            </w:pPr>
            <w:r w:rsidRPr="008C5BBD">
              <w:rPr>
                <w:i/>
                <w:iCs/>
                <w:sz w:val="20"/>
                <w:szCs w:val="20"/>
              </w:rPr>
              <w:t>- dr.sc. Damir Juričić, zamjenik predstojnika Centra za podršku pametnim i održivim gradovima Sveučilišta u Rijeci;</w:t>
            </w:r>
          </w:p>
          <w:p w14:paraId="208FA401" w14:textId="0AD13B45" w:rsidR="00E77F10" w:rsidRPr="008C5BBD" w:rsidRDefault="00E77F10" w:rsidP="00E77F10">
            <w:pPr>
              <w:ind w:right="288"/>
              <w:jc w:val="both"/>
              <w:rPr>
                <w:i/>
                <w:iCs/>
                <w:sz w:val="20"/>
                <w:szCs w:val="20"/>
              </w:rPr>
            </w:pPr>
            <w:r w:rsidRPr="008C5BBD">
              <w:rPr>
                <w:i/>
                <w:iCs/>
                <w:sz w:val="20"/>
                <w:szCs w:val="20"/>
              </w:rPr>
              <w:t>- mr. sc. Velimir Šegon, zamjenik ravnatelja Regionalne energetske agencije Sjeverozapadne Hrvatske;</w:t>
            </w:r>
          </w:p>
          <w:p w14:paraId="54089350" w14:textId="5BD4EB5C" w:rsidR="00E77F10" w:rsidRPr="008C5BBD" w:rsidRDefault="00E77F10" w:rsidP="00E77F10">
            <w:pPr>
              <w:ind w:right="288"/>
              <w:jc w:val="both"/>
              <w:rPr>
                <w:i/>
                <w:iCs/>
                <w:sz w:val="20"/>
                <w:szCs w:val="20"/>
              </w:rPr>
            </w:pPr>
            <w:r w:rsidRPr="008C5BBD">
              <w:rPr>
                <w:i/>
                <w:iCs/>
                <w:sz w:val="20"/>
                <w:szCs w:val="20"/>
              </w:rPr>
              <w:t>- dr. sc. Mirjana Matešić, ravnateljica Hrvatskog poslovnog savjeta za održivi razvoj;</w:t>
            </w:r>
          </w:p>
          <w:p w14:paraId="6808538E" w14:textId="77777777" w:rsidR="00E77F10" w:rsidRPr="008C5BBD" w:rsidRDefault="00E77F10" w:rsidP="00E77F10">
            <w:pPr>
              <w:ind w:right="288"/>
              <w:jc w:val="both"/>
              <w:rPr>
                <w:i/>
                <w:iCs/>
                <w:sz w:val="20"/>
                <w:szCs w:val="20"/>
              </w:rPr>
            </w:pPr>
            <w:r w:rsidRPr="008C5BBD">
              <w:rPr>
                <w:i/>
                <w:iCs/>
                <w:sz w:val="20"/>
                <w:szCs w:val="20"/>
              </w:rPr>
              <w:t>- Miljenko Sedlar, koordinator EIT Climate-KIC Hub Hrvatska i pomoćnik ravnatelja Regionalne energetske agencije Sjeverozapadne Hrvatske;</w:t>
            </w:r>
          </w:p>
          <w:p w14:paraId="227A5337" w14:textId="77777777" w:rsidR="00E77F10" w:rsidRPr="008C5BBD" w:rsidRDefault="00E77F10" w:rsidP="00E77F10">
            <w:pPr>
              <w:ind w:right="288"/>
              <w:jc w:val="both"/>
              <w:rPr>
                <w:i/>
                <w:iCs/>
                <w:sz w:val="20"/>
                <w:szCs w:val="20"/>
              </w:rPr>
            </w:pPr>
            <w:r w:rsidRPr="008C5BBD">
              <w:rPr>
                <w:i/>
                <w:iCs/>
                <w:sz w:val="20"/>
                <w:szCs w:val="20"/>
              </w:rPr>
              <w:t>- Slavica Robić, programska direktorica Društva za oblikovanje održivog razvoja – DOOR;</w:t>
            </w:r>
          </w:p>
          <w:p w14:paraId="007C88FD" w14:textId="3EAC91F2" w:rsidR="00E77F10" w:rsidRDefault="00E77F10" w:rsidP="00EF2A3F">
            <w:pPr>
              <w:ind w:right="288"/>
              <w:jc w:val="both"/>
              <w:rPr>
                <w:szCs w:val="24"/>
              </w:rPr>
            </w:pPr>
            <w:r w:rsidRPr="008C5BBD">
              <w:rPr>
                <w:i/>
                <w:iCs/>
                <w:sz w:val="20"/>
                <w:szCs w:val="20"/>
              </w:rPr>
              <w:t>- Ivan Pržulj, zamjenik ravnatelja Regionalne energetske agencije Sjeverozapadne Hrvatske.</w:t>
            </w:r>
          </w:p>
        </w:tc>
      </w:tr>
    </w:tbl>
    <w:p w14:paraId="0EB087A4" w14:textId="77777777" w:rsidR="00E77F10" w:rsidRPr="00B476F8" w:rsidRDefault="00E77F10" w:rsidP="00B97431">
      <w:pPr>
        <w:spacing w:line="276" w:lineRule="auto"/>
        <w:rPr>
          <w:szCs w:val="24"/>
        </w:rPr>
      </w:pPr>
    </w:p>
    <w:sectPr w:rsidR="00E77F10" w:rsidRPr="00B476F8" w:rsidSect="00BA15AB">
      <w:foot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E368F" w14:textId="77777777" w:rsidR="00391B8B" w:rsidRDefault="00391B8B" w:rsidP="00C93E57">
      <w:r>
        <w:separator/>
      </w:r>
    </w:p>
  </w:endnote>
  <w:endnote w:type="continuationSeparator" w:id="0">
    <w:p w14:paraId="1C13D73A" w14:textId="77777777" w:rsidR="00391B8B" w:rsidRDefault="00391B8B" w:rsidP="00C93E57">
      <w:r>
        <w:continuationSeparator/>
      </w:r>
    </w:p>
  </w:endnote>
  <w:endnote w:type="continuationNotice" w:id="1">
    <w:p w14:paraId="769FE8E0" w14:textId="77777777" w:rsidR="0099306D" w:rsidRDefault="00993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242008"/>
      <w:docPartObj>
        <w:docPartGallery w:val="Page Numbers (Bottom of Page)"/>
        <w:docPartUnique/>
      </w:docPartObj>
    </w:sdtPr>
    <w:sdtEndPr>
      <w:rPr>
        <w:noProof/>
      </w:rPr>
    </w:sdtEndPr>
    <w:sdtContent>
      <w:p w14:paraId="4885C997" w14:textId="77777777" w:rsidR="00BA15AB" w:rsidRDefault="00BA15AB" w:rsidP="00BA15AB">
        <w:r>
          <w:rPr>
            <w:rFonts w:cs="Times New Roman"/>
            <w:noProof/>
            <w:sz w:val="16"/>
            <w:szCs w:val="16"/>
            <w:lang w:eastAsia="hr-HR"/>
          </w:rPr>
          <mc:AlternateContent>
            <mc:Choice Requires="wps">
              <w:drawing>
                <wp:anchor distT="0" distB="0" distL="114300" distR="114300" simplePos="0" relativeHeight="251660288" behindDoc="0" locked="0" layoutInCell="1" allowOverlap="1" wp14:anchorId="4F938384" wp14:editId="69293ABD">
                  <wp:simplePos x="0" y="0"/>
                  <wp:positionH relativeFrom="column">
                    <wp:posOffset>0</wp:posOffset>
                  </wp:positionH>
                  <wp:positionV relativeFrom="paragraph">
                    <wp:posOffset>-85090</wp:posOffset>
                  </wp:positionV>
                  <wp:extent cx="5765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6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08BC0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7pt" to="45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" strokecolor="black [3040]"/>
              </w:pict>
            </mc:Fallback>
          </mc:AlternateContent>
        </w:r>
        <w:r w:rsidRPr="00415DA2">
          <w:rPr>
            <w:rFonts w:cs="Times New Roman"/>
            <w:sz w:val="16"/>
            <w:szCs w:val="16"/>
          </w:rPr>
          <w:t>Smjernice za Programiranje operativnih programa za financijsku perspektivu 2021. – 2027. i Plana za korištenje Fonda za oporavak</w:t>
        </w:r>
        <w:r>
          <w:rPr>
            <w:rFonts w:cs="Times New Roman"/>
            <w:sz w:val="16"/>
            <w:szCs w:val="16"/>
          </w:rPr>
          <w:t xml:space="preserve">     </w:t>
        </w:r>
        <w:r>
          <w:t xml:space="preserve"> </w:t>
        </w:r>
        <w:r w:rsidRPr="000C0A33">
          <w:rPr>
            <w:sz w:val="20"/>
            <w:szCs w:val="20"/>
          </w:rPr>
          <w:fldChar w:fldCharType="begin"/>
        </w:r>
        <w:r w:rsidRPr="000C0A33">
          <w:rPr>
            <w:sz w:val="20"/>
            <w:szCs w:val="20"/>
          </w:rPr>
          <w:instrText xml:space="preserve"> PAGE   \* MERGEFORMAT </w:instrText>
        </w:r>
        <w:r w:rsidRPr="000C0A33">
          <w:rPr>
            <w:sz w:val="20"/>
            <w:szCs w:val="20"/>
          </w:rPr>
          <w:fldChar w:fldCharType="separate"/>
        </w:r>
        <w:r w:rsidR="00CD75BD">
          <w:rPr>
            <w:noProof/>
            <w:sz w:val="20"/>
            <w:szCs w:val="20"/>
          </w:rPr>
          <w:t>8</w:t>
        </w:r>
        <w:r w:rsidRPr="000C0A33">
          <w:rPr>
            <w:noProof/>
            <w:sz w:val="20"/>
            <w:szCs w:val="20"/>
          </w:rPr>
          <w:fldChar w:fldCharType="end"/>
        </w:r>
      </w:p>
    </w:sdtContent>
  </w:sdt>
  <w:p w14:paraId="347B16F0" w14:textId="77777777" w:rsidR="00C93E57" w:rsidRDefault="00C93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49710"/>
      <w:docPartObj>
        <w:docPartGallery w:val="Page Numbers (Bottom of Page)"/>
        <w:docPartUnique/>
      </w:docPartObj>
    </w:sdtPr>
    <w:sdtEndPr>
      <w:rPr>
        <w:noProof/>
      </w:rPr>
    </w:sdtEndPr>
    <w:sdtContent>
      <w:p w14:paraId="01000A93" w14:textId="4CCFE49D" w:rsidR="000C0A33" w:rsidRDefault="009B222E" w:rsidP="009B222E">
        <w:r>
          <w:rPr>
            <w:rFonts w:cs="Times New Roman"/>
            <w:noProof/>
            <w:sz w:val="16"/>
            <w:szCs w:val="16"/>
            <w:lang w:eastAsia="hr-HR"/>
          </w:rPr>
          <mc:AlternateContent>
            <mc:Choice Requires="wps">
              <w:drawing>
                <wp:anchor distT="0" distB="0" distL="114300" distR="114300" simplePos="0" relativeHeight="251657216" behindDoc="0" locked="0" layoutInCell="1" allowOverlap="1" wp14:anchorId="5E822F1A" wp14:editId="3A32C27A">
                  <wp:simplePos x="0" y="0"/>
                  <wp:positionH relativeFrom="column">
                    <wp:posOffset>0</wp:posOffset>
                  </wp:positionH>
                  <wp:positionV relativeFrom="paragraph">
                    <wp:posOffset>-85090</wp:posOffset>
                  </wp:positionV>
                  <wp:extent cx="5765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6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C4A88F"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6.7pt" to="45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" strokecolor="black [3040]"/>
              </w:pict>
            </mc:Fallback>
          </mc:AlternateContent>
        </w:r>
        <w:r w:rsidRPr="00415DA2">
          <w:rPr>
            <w:rFonts w:cs="Times New Roman"/>
            <w:sz w:val="16"/>
            <w:szCs w:val="16"/>
          </w:rPr>
          <w:t>Smjernice za Programiranje operativnih programa za financijsku perspektivu 2021. – 2027. i Plana za korištenje Fonda za oporavak</w:t>
        </w:r>
        <w:r>
          <w:rPr>
            <w:rFonts w:cs="Times New Roman"/>
            <w:sz w:val="16"/>
            <w:szCs w:val="16"/>
          </w:rPr>
          <w:t xml:space="preserve">     </w:t>
        </w:r>
        <w:r>
          <w:t xml:space="preserve"> </w:t>
        </w:r>
        <w:r w:rsidR="000C0A33" w:rsidRPr="000C0A33">
          <w:rPr>
            <w:sz w:val="20"/>
            <w:szCs w:val="20"/>
          </w:rPr>
          <w:fldChar w:fldCharType="begin"/>
        </w:r>
        <w:r w:rsidR="000C0A33" w:rsidRPr="000C0A33">
          <w:rPr>
            <w:sz w:val="20"/>
            <w:szCs w:val="20"/>
          </w:rPr>
          <w:instrText xml:space="preserve"> PAGE   \* MERGEFORMAT </w:instrText>
        </w:r>
        <w:r w:rsidR="000C0A33" w:rsidRPr="000C0A33">
          <w:rPr>
            <w:sz w:val="20"/>
            <w:szCs w:val="20"/>
          </w:rPr>
          <w:fldChar w:fldCharType="separate"/>
        </w:r>
        <w:r w:rsidR="00CD75BD">
          <w:rPr>
            <w:noProof/>
            <w:sz w:val="20"/>
            <w:szCs w:val="20"/>
          </w:rPr>
          <w:t>1</w:t>
        </w:r>
        <w:r w:rsidR="000C0A33" w:rsidRPr="000C0A33">
          <w:rPr>
            <w:noProof/>
            <w:sz w:val="20"/>
            <w:szCs w:val="20"/>
          </w:rPr>
          <w:fldChar w:fldCharType="end"/>
        </w:r>
      </w:p>
    </w:sdtContent>
  </w:sdt>
  <w:p w14:paraId="4E34A08D" w14:textId="77777777" w:rsidR="000C0A33" w:rsidRDefault="000C0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03C8D" w14:textId="77777777" w:rsidR="00391B8B" w:rsidRDefault="00391B8B" w:rsidP="00C93E57">
      <w:r>
        <w:separator/>
      </w:r>
    </w:p>
  </w:footnote>
  <w:footnote w:type="continuationSeparator" w:id="0">
    <w:p w14:paraId="30A78BF7" w14:textId="77777777" w:rsidR="00391B8B" w:rsidRDefault="00391B8B" w:rsidP="00C93E57">
      <w:r>
        <w:continuationSeparator/>
      </w:r>
    </w:p>
  </w:footnote>
  <w:footnote w:type="continuationNotice" w:id="1">
    <w:p w14:paraId="5AFB3977" w14:textId="77777777" w:rsidR="0099306D" w:rsidRDefault="009930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14F"/>
    <w:multiLevelType w:val="multilevel"/>
    <w:tmpl w:val="ACC44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F31690"/>
    <w:multiLevelType w:val="hybridMultilevel"/>
    <w:tmpl w:val="75781CB8"/>
    <w:lvl w:ilvl="0" w:tplc="661E2C4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8665E83"/>
    <w:multiLevelType w:val="hybridMultilevel"/>
    <w:tmpl w:val="19B8FBB8"/>
    <w:lvl w:ilvl="0" w:tplc="1E9A640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C332AD6"/>
    <w:multiLevelType w:val="hybridMultilevel"/>
    <w:tmpl w:val="85BCECC4"/>
    <w:lvl w:ilvl="0" w:tplc="8F88BAD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C4445E1"/>
    <w:multiLevelType w:val="hybridMultilevel"/>
    <w:tmpl w:val="03C03CAC"/>
    <w:lvl w:ilvl="0" w:tplc="920AF67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6625E08"/>
    <w:multiLevelType w:val="hybridMultilevel"/>
    <w:tmpl w:val="3D3815A4"/>
    <w:lvl w:ilvl="0" w:tplc="0756D5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0661D"/>
    <w:multiLevelType w:val="hybridMultilevel"/>
    <w:tmpl w:val="E3B2AF3A"/>
    <w:lvl w:ilvl="0" w:tplc="314822B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AE32AF2"/>
    <w:multiLevelType w:val="hybridMultilevel"/>
    <w:tmpl w:val="7A08F45E"/>
    <w:lvl w:ilvl="0" w:tplc="A4D87A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E597AD1"/>
    <w:multiLevelType w:val="hybridMultilevel"/>
    <w:tmpl w:val="8938B4B4"/>
    <w:lvl w:ilvl="0" w:tplc="9D22D12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224C6F8E"/>
    <w:multiLevelType w:val="hybridMultilevel"/>
    <w:tmpl w:val="A8FC7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D332A"/>
    <w:multiLevelType w:val="multilevel"/>
    <w:tmpl w:val="40DED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0F69FD"/>
    <w:multiLevelType w:val="hybridMultilevel"/>
    <w:tmpl w:val="D66EC18E"/>
    <w:lvl w:ilvl="0" w:tplc="5836A2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53214FEF"/>
    <w:multiLevelType w:val="hybridMultilevel"/>
    <w:tmpl w:val="6FB0213C"/>
    <w:lvl w:ilvl="0" w:tplc="D92CEDC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3D5555D"/>
    <w:multiLevelType w:val="hybridMultilevel"/>
    <w:tmpl w:val="057CB770"/>
    <w:lvl w:ilvl="0" w:tplc="C1324E1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67054E7"/>
    <w:multiLevelType w:val="hybridMultilevel"/>
    <w:tmpl w:val="68A6235C"/>
    <w:lvl w:ilvl="0" w:tplc="0C3E1C7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591555A2"/>
    <w:multiLevelType w:val="hybridMultilevel"/>
    <w:tmpl w:val="2362C894"/>
    <w:lvl w:ilvl="0" w:tplc="9C74BC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5C6E2BD9"/>
    <w:multiLevelType w:val="hybridMultilevel"/>
    <w:tmpl w:val="30C6A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7A5F7A"/>
    <w:multiLevelType w:val="hybridMultilevel"/>
    <w:tmpl w:val="F43E6E90"/>
    <w:lvl w:ilvl="0" w:tplc="A2309B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75519D"/>
    <w:multiLevelType w:val="hybridMultilevel"/>
    <w:tmpl w:val="703AEB8C"/>
    <w:lvl w:ilvl="0" w:tplc="52E825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651767DD"/>
    <w:multiLevelType w:val="hybridMultilevel"/>
    <w:tmpl w:val="C1C4EDA2"/>
    <w:lvl w:ilvl="0" w:tplc="02468E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73D45B0D"/>
    <w:multiLevelType w:val="hybridMultilevel"/>
    <w:tmpl w:val="AF721B1E"/>
    <w:lvl w:ilvl="0" w:tplc="0409000F">
      <w:start w:val="1"/>
      <w:numFmt w:val="decimal"/>
      <w:lvlText w:val="%1."/>
      <w:lvlJc w:val="left"/>
      <w:pPr>
        <w:ind w:left="720" w:hanging="360"/>
      </w:pPr>
      <w:rPr>
        <w:rFonts w:hint="default"/>
      </w:rPr>
    </w:lvl>
    <w:lvl w:ilvl="1" w:tplc="04090001">
      <w:start w:val="1"/>
      <w:numFmt w:val="bullet"/>
      <w:lvlText w:val=""/>
      <w:lvlJc w:val="left"/>
      <w:pPr>
        <w:ind w:left="3054"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E53814"/>
    <w:multiLevelType w:val="hybridMultilevel"/>
    <w:tmpl w:val="80D4B24A"/>
    <w:lvl w:ilvl="0" w:tplc="4BD8EAE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7EC8039D"/>
    <w:multiLevelType w:val="hybridMultilevel"/>
    <w:tmpl w:val="7C50862A"/>
    <w:lvl w:ilvl="0" w:tplc="0E5C547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7"/>
  </w:num>
  <w:num w:numId="2">
    <w:abstractNumId w:val="13"/>
  </w:num>
  <w:num w:numId="3">
    <w:abstractNumId w:val="8"/>
  </w:num>
  <w:num w:numId="4">
    <w:abstractNumId w:val="4"/>
  </w:num>
  <w:num w:numId="5">
    <w:abstractNumId w:val="18"/>
  </w:num>
  <w:num w:numId="6">
    <w:abstractNumId w:val="1"/>
  </w:num>
  <w:num w:numId="7">
    <w:abstractNumId w:val="22"/>
  </w:num>
  <w:num w:numId="8">
    <w:abstractNumId w:val="12"/>
  </w:num>
  <w:num w:numId="9">
    <w:abstractNumId w:val="7"/>
  </w:num>
  <w:num w:numId="10">
    <w:abstractNumId w:val="3"/>
  </w:num>
  <w:num w:numId="11">
    <w:abstractNumId w:val="19"/>
  </w:num>
  <w:num w:numId="12">
    <w:abstractNumId w:val="15"/>
  </w:num>
  <w:num w:numId="13">
    <w:abstractNumId w:val="2"/>
  </w:num>
  <w:num w:numId="14">
    <w:abstractNumId w:val="11"/>
  </w:num>
  <w:num w:numId="15">
    <w:abstractNumId w:val="21"/>
  </w:num>
  <w:num w:numId="16">
    <w:abstractNumId w:val="6"/>
  </w:num>
  <w:num w:numId="17">
    <w:abstractNumId w:val="14"/>
  </w:num>
  <w:num w:numId="18">
    <w:abstractNumId w:val="20"/>
  </w:num>
  <w:num w:numId="19">
    <w:abstractNumId w:val="16"/>
  </w:num>
  <w:num w:numId="20">
    <w:abstractNumId w:val="5"/>
  </w:num>
  <w:num w:numId="21">
    <w:abstractNumId w:val="9"/>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08"/>
    <w:rsid w:val="00020B89"/>
    <w:rsid w:val="00023679"/>
    <w:rsid w:val="00033ED9"/>
    <w:rsid w:val="00035D51"/>
    <w:rsid w:val="00051939"/>
    <w:rsid w:val="00054CE4"/>
    <w:rsid w:val="00070A92"/>
    <w:rsid w:val="00072D90"/>
    <w:rsid w:val="00075CF5"/>
    <w:rsid w:val="00083597"/>
    <w:rsid w:val="000A166E"/>
    <w:rsid w:val="000A2384"/>
    <w:rsid w:val="000B02CC"/>
    <w:rsid w:val="000B31D2"/>
    <w:rsid w:val="000B727F"/>
    <w:rsid w:val="000C0A33"/>
    <w:rsid w:val="000C0BAC"/>
    <w:rsid w:val="000C5A61"/>
    <w:rsid w:val="000D4806"/>
    <w:rsid w:val="000E7E4A"/>
    <w:rsid w:val="000F06E8"/>
    <w:rsid w:val="000F295A"/>
    <w:rsid w:val="000F48F9"/>
    <w:rsid w:val="00102AA8"/>
    <w:rsid w:val="0010328D"/>
    <w:rsid w:val="001360F3"/>
    <w:rsid w:val="001371AE"/>
    <w:rsid w:val="001562F3"/>
    <w:rsid w:val="00166C67"/>
    <w:rsid w:val="0016CD73"/>
    <w:rsid w:val="00180E8D"/>
    <w:rsid w:val="001A288C"/>
    <w:rsid w:val="001C0408"/>
    <w:rsid w:val="001C6064"/>
    <w:rsid w:val="001D3F4F"/>
    <w:rsid w:val="001E2550"/>
    <w:rsid w:val="001E355C"/>
    <w:rsid w:val="001F0904"/>
    <w:rsid w:val="001F51E5"/>
    <w:rsid w:val="002002EB"/>
    <w:rsid w:val="00215AA9"/>
    <w:rsid w:val="0021698F"/>
    <w:rsid w:val="00217DDC"/>
    <w:rsid w:val="00234CD6"/>
    <w:rsid w:val="00257C98"/>
    <w:rsid w:val="002624A9"/>
    <w:rsid w:val="00277240"/>
    <w:rsid w:val="002B105A"/>
    <w:rsid w:val="002B1A8E"/>
    <w:rsid w:val="002B62F7"/>
    <w:rsid w:val="002D1C16"/>
    <w:rsid w:val="002D6A46"/>
    <w:rsid w:val="00304553"/>
    <w:rsid w:val="00306522"/>
    <w:rsid w:val="003156C5"/>
    <w:rsid w:val="00354277"/>
    <w:rsid w:val="00357286"/>
    <w:rsid w:val="00361CA8"/>
    <w:rsid w:val="00373E91"/>
    <w:rsid w:val="003802BB"/>
    <w:rsid w:val="003845F2"/>
    <w:rsid w:val="00391B8B"/>
    <w:rsid w:val="00392251"/>
    <w:rsid w:val="003B4AE7"/>
    <w:rsid w:val="003B716A"/>
    <w:rsid w:val="003C6CE0"/>
    <w:rsid w:val="003E49BE"/>
    <w:rsid w:val="003F3763"/>
    <w:rsid w:val="003F640D"/>
    <w:rsid w:val="003F7656"/>
    <w:rsid w:val="004024CE"/>
    <w:rsid w:val="0040724A"/>
    <w:rsid w:val="00415C22"/>
    <w:rsid w:val="0042591E"/>
    <w:rsid w:val="00433068"/>
    <w:rsid w:val="004350E7"/>
    <w:rsid w:val="00444CF6"/>
    <w:rsid w:val="00445414"/>
    <w:rsid w:val="004639AC"/>
    <w:rsid w:val="00484984"/>
    <w:rsid w:val="00491F1C"/>
    <w:rsid w:val="004D3FBF"/>
    <w:rsid w:val="004D45D0"/>
    <w:rsid w:val="004D4FBA"/>
    <w:rsid w:val="004D773B"/>
    <w:rsid w:val="004F1B22"/>
    <w:rsid w:val="005000CC"/>
    <w:rsid w:val="00522D56"/>
    <w:rsid w:val="005332E9"/>
    <w:rsid w:val="00541324"/>
    <w:rsid w:val="005464A2"/>
    <w:rsid w:val="0054667E"/>
    <w:rsid w:val="00566444"/>
    <w:rsid w:val="0057670D"/>
    <w:rsid w:val="00577B59"/>
    <w:rsid w:val="00597E8C"/>
    <w:rsid w:val="005B2FF6"/>
    <w:rsid w:val="005B39C7"/>
    <w:rsid w:val="005B4596"/>
    <w:rsid w:val="005B6550"/>
    <w:rsid w:val="005C0B02"/>
    <w:rsid w:val="005C40F4"/>
    <w:rsid w:val="005D0D8D"/>
    <w:rsid w:val="005D7B8A"/>
    <w:rsid w:val="005F7B0B"/>
    <w:rsid w:val="00610D6C"/>
    <w:rsid w:val="00636C74"/>
    <w:rsid w:val="0064160B"/>
    <w:rsid w:val="00650BC6"/>
    <w:rsid w:val="006518F2"/>
    <w:rsid w:val="00664920"/>
    <w:rsid w:val="0067691E"/>
    <w:rsid w:val="006913CD"/>
    <w:rsid w:val="00693F15"/>
    <w:rsid w:val="0069492E"/>
    <w:rsid w:val="006A0BE0"/>
    <w:rsid w:val="006B1E4E"/>
    <w:rsid w:val="006D2EFA"/>
    <w:rsid w:val="006E29F0"/>
    <w:rsid w:val="00717DEA"/>
    <w:rsid w:val="00723A0C"/>
    <w:rsid w:val="00731506"/>
    <w:rsid w:val="0073402C"/>
    <w:rsid w:val="00766E5A"/>
    <w:rsid w:val="00767622"/>
    <w:rsid w:val="007724B3"/>
    <w:rsid w:val="007978A2"/>
    <w:rsid w:val="007A0EB0"/>
    <w:rsid w:val="007C321A"/>
    <w:rsid w:val="007D7D35"/>
    <w:rsid w:val="007E353F"/>
    <w:rsid w:val="008123B6"/>
    <w:rsid w:val="00821E9E"/>
    <w:rsid w:val="00822203"/>
    <w:rsid w:val="00840CF4"/>
    <w:rsid w:val="00842279"/>
    <w:rsid w:val="0084300F"/>
    <w:rsid w:val="00843A5B"/>
    <w:rsid w:val="008508F9"/>
    <w:rsid w:val="00854F18"/>
    <w:rsid w:val="00860567"/>
    <w:rsid w:val="0086274C"/>
    <w:rsid w:val="0086701E"/>
    <w:rsid w:val="00867316"/>
    <w:rsid w:val="00885292"/>
    <w:rsid w:val="008879BA"/>
    <w:rsid w:val="008906F0"/>
    <w:rsid w:val="008A001C"/>
    <w:rsid w:val="008A5016"/>
    <w:rsid w:val="008B5385"/>
    <w:rsid w:val="008B7C6A"/>
    <w:rsid w:val="008C55A9"/>
    <w:rsid w:val="008C5BBD"/>
    <w:rsid w:val="008E6FBA"/>
    <w:rsid w:val="008F3B5D"/>
    <w:rsid w:val="00901930"/>
    <w:rsid w:val="00905319"/>
    <w:rsid w:val="00905B9E"/>
    <w:rsid w:val="00923C09"/>
    <w:rsid w:val="00927C25"/>
    <w:rsid w:val="0093045D"/>
    <w:rsid w:val="00937599"/>
    <w:rsid w:val="0094158E"/>
    <w:rsid w:val="00946B18"/>
    <w:rsid w:val="00950780"/>
    <w:rsid w:val="00971F69"/>
    <w:rsid w:val="0099306D"/>
    <w:rsid w:val="009A1E88"/>
    <w:rsid w:val="009A52C1"/>
    <w:rsid w:val="009A6590"/>
    <w:rsid w:val="009B222E"/>
    <w:rsid w:val="009E2499"/>
    <w:rsid w:val="009E67BD"/>
    <w:rsid w:val="00A216A1"/>
    <w:rsid w:val="00A34B45"/>
    <w:rsid w:val="00A520DF"/>
    <w:rsid w:val="00A81A40"/>
    <w:rsid w:val="00A825B9"/>
    <w:rsid w:val="00A96238"/>
    <w:rsid w:val="00AA4FA3"/>
    <w:rsid w:val="00AB55F4"/>
    <w:rsid w:val="00AB5CA1"/>
    <w:rsid w:val="00AC2B52"/>
    <w:rsid w:val="00AD3375"/>
    <w:rsid w:val="00AD3468"/>
    <w:rsid w:val="00AF0FC6"/>
    <w:rsid w:val="00AF2FEC"/>
    <w:rsid w:val="00B008BE"/>
    <w:rsid w:val="00B068E7"/>
    <w:rsid w:val="00B14A3E"/>
    <w:rsid w:val="00B476F8"/>
    <w:rsid w:val="00B47C3A"/>
    <w:rsid w:val="00B752BE"/>
    <w:rsid w:val="00B77A6D"/>
    <w:rsid w:val="00B8021F"/>
    <w:rsid w:val="00B85348"/>
    <w:rsid w:val="00B90ECD"/>
    <w:rsid w:val="00B92929"/>
    <w:rsid w:val="00B9411C"/>
    <w:rsid w:val="00B97431"/>
    <w:rsid w:val="00BA15AB"/>
    <w:rsid w:val="00BB7872"/>
    <w:rsid w:val="00BB7ABF"/>
    <w:rsid w:val="00BC35AD"/>
    <w:rsid w:val="00BC50B4"/>
    <w:rsid w:val="00BD700E"/>
    <w:rsid w:val="00BE1D96"/>
    <w:rsid w:val="00C01B55"/>
    <w:rsid w:val="00C10FE0"/>
    <w:rsid w:val="00C1518D"/>
    <w:rsid w:val="00C2181E"/>
    <w:rsid w:val="00C22B43"/>
    <w:rsid w:val="00C23574"/>
    <w:rsid w:val="00C37238"/>
    <w:rsid w:val="00C45FF7"/>
    <w:rsid w:val="00C5154C"/>
    <w:rsid w:val="00C61850"/>
    <w:rsid w:val="00C93E57"/>
    <w:rsid w:val="00CA0E05"/>
    <w:rsid w:val="00CA4CD2"/>
    <w:rsid w:val="00CB5515"/>
    <w:rsid w:val="00CC0EDC"/>
    <w:rsid w:val="00CC291A"/>
    <w:rsid w:val="00CD41C4"/>
    <w:rsid w:val="00CD75BD"/>
    <w:rsid w:val="00CE6A05"/>
    <w:rsid w:val="00CF30CD"/>
    <w:rsid w:val="00D07F54"/>
    <w:rsid w:val="00D132E6"/>
    <w:rsid w:val="00D15FAF"/>
    <w:rsid w:val="00D16257"/>
    <w:rsid w:val="00D36149"/>
    <w:rsid w:val="00D44604"/>
    <w:rsid w:val="00D61DCF"/>
    <w:rsid w:val="00D74A11"/>
    <w:rsid w:val="00D8076C"/>
    <w:rsid w:val="00DA2572"/>
    <w:rsid w:val="00DB474F"/>
    <w:rsid w:val="00DB7CE8"/>
    <w:rsid w:val="00DC4F96"/>
    <w:rsid w:val="00DF2C70"/>
    <w:rsid w:val="00DF2D51"/>
    <w:rsid w:val="00E0667E"/>
    <w:rsid w:val="00E14070"/>
    <w:rsid w:val="00E14FFF"/>
    <w:rsid w:val="00E3460B"/>
    <w:rsid w:val="00E50832"/>
    <w:rsid w:val="00E51D44"/>
    <w:rsid w:val="00E56098"/>
    <w:rsid w:val="00E63A80"/>
    <w:rsid w:val="00E714D8"/>
    <w:rsid w:val="00E727FE"/>
    <w:rsid w:val="00E75D48"/>
    <w:rsid w:val="00E77F10"/>
    <w:rsid w:val="00E900AF"/>
    <w:rsid w:val="00E908AD"/>
    <w:rsid w:val="00EB22A3"/>
    <w:rsid w:val="00EC24B7"/>
    <w:rsid w:val="00EC3F5F"/>
    <w:rsid w:val="00EC5C1E"/>
    <w:rsid w:val="00ED3A1C"/>
    <w:rsid w:val="00EF04CF"/>
    <w:rsid w:val="00EF2A3F"/>
    <w:rsid w:val="00F01C87"/>
    <w:rsid w:val="00F135C3"/>
    <w:rsid w:val="00F16494"/>
    <w:rsid w:val="00F306B4"/>
    <w:rsid w:val="00F52E08"/>
    <w:rsid w:val="00F545C6"/>
    <w:rsid w:val="00F558DE"/>
    <w:rsid w:val="00F6531D"/>
    <w:rsid w:val="00F72F58"/>
    <w:rsid w:val="00F73C71"/>
    <w:rsid w:val="00F82C51"/>
    <w:rsid w:val="00F836FD"/>
    <w:rsid w:val="00F86EA0"/>
    <w:rsid w:val="00F942D1"/>
    <w:rsid w:val="00F972AC"/>
    <w:rsid w:val="00FB113B"/>
    <w:rsid w:val="00FC506C"/>
    <w:rsid w:val="00FE6335"/>
    <w:rsid w:val="0165537F"/>
    <w:rsid w:val="03A399CA"/>
    <w:rsid w:val="0AB3767D"/>
    <w:rsid w:val="0C0FB5F3"/>
    <w:rsid w:val="0F48A150"/>
    <w:rsid w:val="11D8C0E5"/>
    <w:rsid w:val="153A0C4A"/>
    <w:rsid w:val="1795F4EF"/>
    <w:rsid w:val="18822AEC"/>
    <w:rsid w:val="1F588687"/>
    <w:rsid w:val="264D47CE"/>
    <w:rsid w:val="2659A0A2"/>
    <w:rsid w:val="27F0D510"/>
    <w:rsid w:val="299A7682"/>
    <w:rsid w:val="2A634FA4"/>
    <w:rsid w:val="2B4FD6A1"/>
    <w:rsid w:val="33E8AA83"/>
    <w:rsid w:val="3568C2D1"/>
    <w:rsid w:val="3760105E"/>
    <w:rsid w:val="39006BC9"/>
    <w:rsid w:val="3B3D77E7"/>
    <w:rsid w:val="3CBAD726"/>
    <w:rsid w:val="3F20A986"/>
    <w:rsid w:val="442F9E85"/>
    <w:rsid w:val="4C233239"/>
    <w:rsid w:val="4E46357E"/>
    <w:rsid w:val="52834F7B"/>
    <w:rsid w:val="5798E5C4"/>
    <w:rsid w:val="579D3B18"/>
    <w:rsid w:val="5B274AAD"/>
    <w:rsid w:val="5BEB44EE"/>
    <w:rsid w:val="5E6F3C22"/>
    <w:rsid w:val="5FBCDB28"/>
    <w:rsid w:val="61E915EF"/>
    <w:rsid w:val="64FD69DD"/>
    <w:rsid w:val="65BAA399"/>
    <w:rsid w:val="663AFA8B"/>
    <w:rsid w:val="6A352E6E"/>
    <w:rsid w:val="6ADB2146"/>
    <w:rsid w:val="6C2171FD"/>
    <w:rsid w:val="72979536"/>
    <w:rsid w:val="72EF811B"/>
    <w:rsid w:val="747CECE6"/>
    <w:rsid w:val="748DF3B3"/>
    <w:rsid w:val="75F56AC3"/>
    <w:rsid w:val="76B15094"/>
    <w:rsid w:val="76ED3FA7"/>
    <w:rsid w:val="7B583562"/>
    <w:rsid w:val="7EF69FB6"/>
    <w:rsid w:val="7FF0E3D9"/>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4B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5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08"/>
    <w:rPr>
      <w:rFonts w:ascii="Tahoma" w:hAnsi="Tahoma" w:cs="Tahoma"/>
      <w:sz w:val="16"/>
      <w:szCs w:val="16"/>
    </w:rPr>
  </w:style>
  <w:style w:type="character" w:customStyle="1" w:styleId="BalloonTextChar">
    <w:name w:val="Balloon Text Char"/>
    <w:basedOn w:val="DefaultParagraphFont"/>
    <w:link w:val="BalloonText"/>
    <w:uiPriority w:val="99"/>
    <w:semiHidden/>
    <w:rsid w:val="00F52E08"/>
    <w:rPr>
      <w:rFonts w:ascii="Tahoma" w:hAnsi="Tahoma" w:cs="Tahoma"/>
      <w:sz w:val="16"/>
      <w:szCs w:val="16"/>
    </w:rPr>
  </w:style>
  <w:style w:type="paragraph" w:styleId="ListParagraph">
    <w:name w:val="List Paragraph"/>
    <w:basedOn w:val="Normal"/>
    <w:uiPriority w:val="34"/>
    <w:qFormat/>
    <w:rsid w:val="00257C98"/>
    <w:pPr>
      <w:ind w:left="720"/>
      <w:contextualSpacing/>
    </w:pPr>
  </w:style>
  <w:style w:type="paragraph" w:styleId="Header">
    <w:name w:val="header"/>
    <w:basedOn w:val="Normal"/>
    <w:link w:val="HeaderChar"/>
    <w:uiPriority w:val="99"/>
    <w:unhideWhenUsed/>
    <w:rsid w:val="00C93E57"/>
    <w:pPr>
      <w:tabs>
        <w:tab w:val="center" w:pos="4513"/>
        <w:tab w:val="right" w:pos="9026"/>
      </w:tabs>
    </w:pPr>
  </w:style>
  <w:style w:type="character" w:customStyle="1" w:styleId="HeaderChar">
    <w:name w:val="Header Char"/>
    <w:basedOn w:val="DefaultParagraphFont"/>
    <w:link w:val="Header"/>
    <w:uiPriority w:val="99"/>
    <w:rsid w:val="00C93E57"/>
    <w:rPr>
      <w:rFonts w:ascii="Times New Roman" w:hAnsi="Times New Roman"/>
      <w:sz w:val="24"/>
    </w:rPr>
  </w:style>
  <w:style w:type="paragraph" w:styleId="Footer">
    <w:name w:val="footer"/>
    <w:basedOn w:val="Normal"/>
    <w:link w:val="FooterChar"/>
    <w:uiPriority w:val="99"/>
    <w:unhideWhenUsed/>
    <w:rsid w:val="00C93E57"/>
    <w:pPr>
      <w:tabs>
        <w:tab w:val="center" w:pos="4513"/>
        <w:tab w:val="right" w:pos="9026"/>
      </w:tabs>
    </w:pPr>
  </w:style>
  <w:style w:type="character" w:customStyle="1" w:styleId="FooterChar">
    <w:name w:val="Footer Char"/>
    <w:basedOn w:val="DefaultParagraphFont"/>
    <w:link w:val="Footer"/>
    <w:uiPriority w:val="99"/>
    <w:rsid w:val="00C93E57"/>
    <w:rPr>
      <w:rFonts w:ascii="Times New Roman" w:hAnsi="Times New Roman"/>
      <w:sz w:val="24"/>
    </w:rPr>
  </w:style>
  <w:style w:type="character" w:styleId="Emphasis">
    <w:name w:val="Emphasis"/>
    <w:basedOn w:val="DefaultParagraphFont"/>
    <w:uiPriority w:val="20"/>
    <w:qFormat/>
    <w:rsid w:val="00075CF5"/>
    <w:rPr>
      <w:i/>
      <w:iCs/>
    </w:rPr>
  </w:style>
  <w:style w:type="character" w:styleId="CommentReference">
    <w:name w:val="annotation reference"/>
    <w:basedOn w:val="DefaultParagraphFont"/>
    <w:uiPriority w:val="99"/>
    <w:semiHidden/>
    <w:unhideWhenUsed/>
    <w:rsid w:val="00B77A6D"/>
    <w:rPr>
      <w:sz w:val="16"/>
      <w:szCs w:val="16"/>
    </w:rPr>
  </w:style>
  <w:style w:type="paragraph" w:styleId="CommentText">
    <w:name w:val="annotation text"/>
    <w:basedOn w:val="Normal"/>
    <w:link w:val="CommentTextChar"/>
    <w:uiPriority w:val="99"/>
    <w:unhideWhenUsed/>
    <w:rsid w:val="00B77A6D"/>
    <w:rPr>
      <w:sz w:val="20"/>
      <w:szCs w:val="20"/>
    </w:rPr>
  </w:style>
  <w:style w:type="character" w:customStyle="1" w:styleId="CommentTextChar">
    <w:name w:val="Comment Text Char"/>
    <w:basedOn w:val="DefaultParagraphFont"/>
    <w:link w:val="CommentText"/>
    <w:uiPriority w:val="99"/>
    <w:rsid w:val="00B77A6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77A6D"/>
    <w:rPr>
      <w:b/>
      <w:bCs/>
    </w:rPr>
  </w:style>
  <w:style w:type="character" w:customStyle="1" w:styleId="CommentSubjectChar">
    <w:name w:val="Comment Subject Char"/>
    <w:basedOn w:val="CommentTextChar"/>
    <w:link w:val="CommentSubject"/>
    <w:uiPriority w:val="99"/>
    <w:semiHidden/>
    <w:rsid w:val="00B77A6D"/>
    <w:rPr>
      <w:rFonts w:ascii="Times New Roman" w:hAnsi="Times New Roman"/>
      <w:b/>
      <w:bCs/>
      <w:sz w:val="20"/>
      <w:szCs w:val="20"/>
    </w:rPr>
  </w:style>
  <w:style w:type="paragraph" w:styleId="PlainText">
    <w:name w:val="Plain Text"/>
    <w:basedOn w:val="Normal"/>
    <w:link w:val="PlainTextChar"/>
    <w:uiPriority w:val="99"/>
    <w:unhideWhenUsed/>
    <w:rsid w:val="00F16494"/>
    <w:rPr>
      <w:rFonts w:ascii="Calibri" w:hAnsi="Calibri"/>
      <w:sz w:val="22"/>
      <w:szCs w:val="21"/>
      <w:lang w:val="en-US"/>
    </w:rPr>
  </w:style>
  <w:style w:type="character" w:customStyle="1" w:styleId="PlainTextChar">
    <w:name w:val="Plain Text Char"/>
    <w:basedOn w:val="DefaultParagraphFont"/>
    <w:link w:val="PlainText"/>
    <w:uiPriority w:val="99"/>
    <w:rsid w:val="00F16494"/>
    <w:rPr>
      <w:rFonts w:ascii="Calibri" w:hAnsi="Calibri"/>
      <w:szCs w:val="21"/>
      <w:lang w:val="en-US"/>
    </w:rPr>
  </w:style>
  <w:style w:type="table" w:styleId="TableGrid">
    <w:name w:val="Table Grid"/>
    <w:basedOn w:val="TableNormal"/>
    <w:uiPriority w:val="59"/>
    <w:rsid w:val="00E7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5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08"/>
    <w:rPr>
      <w:rFonts w:ascii="Tahoma" w:hAnsi="Tahoma" w:cs="Tahoma"/>
      <w:sz w:val="16"/>
      <w:szCs w:val="16"/>
    </w:rPr>
  </w:style>
  <w:style w:type="character" w:customStyle="1" w:styleId="BalloonTextChar">
    <w:name w:val="Balloon Text Char"/>
    <w:basedOn w:val="DefaultParagraphFont"/>
    <w:link w:val="BalloonText"/>
    <w:uiPriority w:val="99"/>
    <w:semiHidden/>
    <w:rsid w:val="00F52E08"/>
    <w:rPr>
      <w:rFonts w:ascii="Tahoma" w:hAnsi="Tahoma" w:cs="Tahoma"/>
      <w:sz w:val="16"/>
      <w:szCs w:val="16"/>
    </w:rPr>
  </w:style>
  <w:style w:type="paragraph" w:styleId="ListParagraph">
    <w:name w:val="List Paragraph"/>
    <w:basedOn w:val="Normal"/>
    <w:uiPriority w:val="34"/>
    <w:qFormat/>
    <w:rsid w:val="00257C98"/>
    <w:pPr>
      <w:ind w:left="720"/>
      <w:contextualSpacing/>
    </w:pPr>
  </w:style>
  <w:style w:type="paragraph" w:styleId="Header">
    <w:name w:val="header"/>
    <w:basedOn w:val="Normal"/>
    <w:link w:val="HeaderChar"/>
    <w:uiPriority w:val="99"/>
    <w:unhideWhenUsed/>
    <w:rsid w:val="00C93E57"/>
    <w:pPr>
      <w:tabs>
        <w:tab w:val="center" w:pos="4513"/>
        <w:tab w:val="right" w:pos="9026"/>
      </w:tabs>
    </w:pPr>
  </w:style>
  <w:style w:type="character" w:customStyle="1" w:styleId="HeaderChar">
    <w:name w:val="Header Char"/>
    <w:basedOn w:val="DefaultParagraphFont"/>
    <w:link w:val="Header"/>
    <w:uiPriority w:val="99"/>
    <w:rsid w:val="00C93E57"/>
    <w:rPr>
      <w:rFonts w:ascii="Times New Roman" w:hAnsi="Times New Roman"/>
      <w:sz w:val="24"/>
    </w:rPr>
  </w:style>
  <w:style w:type="paragraph" w:styleId="Footer">
    <w:name w:val="footer"/>
    <w:basedOn w:val="Normal"/>
    <w:link w:val="FooterChar"/>
    <w:uiPriority w:val="99"/>
    <w:unhideWhenUsed/>
    <w:rsid w:val="00C93E57"/>
    <w:pPr>
      <w:tabs>
        <w:tab w:val="center" w:pos="4513"/>
        <w:tab w:val="right" w:pos="9026"/>
      </w:tabs>
    </w:pPr>
  </w:style>
  <w:style w:type="character" w:customStyle="1" w:styleId="FooterChar">
    <w:name w:val="Footer Char"/>
    <w:basedOn w:val="DefaultParagraphFont"/>
    <w:link w:val="Footer"/>
    <w:uiPriority w:val="99"/>
    <w:rsid w:val="00C93E57"/>
    <w:rPr>
      <w:rFonts w:ascii="Times New Roman" w:hAnsi="Times New Roman"/>
      <w:sz w:val="24"/>
    </w:rPr>
  </w:style>
  <w:style w:type="character" w:styleId="Emphasis">
    <w:name w:val="Emphasis"/>
    <w:basedOn w:val="DefaultParagraphFont"/>
    <w:uiPriority w:val="20"/>
    <w:qFormat/>
    <w:rsid w:val="00075CF5"/>
    <w:rPr>
      <w:i/>
      <w:iCs/>
    </w:rPr>
  </w:style>
  <w:style w:type="character" w:styleId="CommentReference">
    <w:name w:val="annotation reference"/>
    <w:basedOn w:val="DefaultParagraphFont"/>
    <w:uiPriority w:val="99"/>
    <w:semiHidden/>
    <w:unhideWhenUsed/>
    <w:rsid w:val="00B77A6D"/>
    <w:rPr>
      <w:sz w:val="16"/>
      <w:szCs w:val="16"/>
    </w:rPr>
  </w:style>
  <w:style w:type="paragraph" w:styleId="CommentText">
    <w:name w:val="annotation text"/>
    <w:basedOn w:val="Normal"/>
    <w:link w:val="CommentTextChar"/>
    <w:uiPriority w:val="99"/>
    <w:unhideWhenUsed/>
    <w:rsid w:val="00B77A6D"/>
    <w:rPr>
      <w:sz w:val="20"/>
      <w:szCs w:val="20"/>
    </w:rPr>
  </w:style>
  <w:style w:type="character" w:customStyle="1" w:styleId="CommentTextChar">
    <w:name w:val="Comment Text Char"/>
    <w:basedOn w:val="DefaultParagraphFont"/>
    <w:link w:val="CommentText"/>
    <w:uiPriority w:val="99"/>
    <w:rsid w:val="00B77A6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77A6D"/>
    <w:rPr>
      <w:b/>
      <w:bCs/>
    </w:rPr>
  </w:style>
  <w:style w:type="character" w:customStyle="1" w:styleId="CommentSubjectChar">
    <w:name w:val="Comment Subject Char"/>
    <w:basedOn w:val="CommentTextChar"/>
    <w:link w:val="CommentSubject"/>
    <w:uiPriority w:val="99"/>
    <w:semiHidden/>
    <w:rsid w:val="00B77A6D"/>
    <w:rPr>
      <w:rFonts w:ascii="Times New Roman" w:hAnsi="Times New Roman"/>
      <w:b/>
      <w:bCs/>
      <w:sz w:val="20"/>
      <w:szCs w:val="20"/>
    </w:rPr>
  </w:style>
  <w:style w:type="paragraph" w:styleId="PlainText">
    <w:name w:val="Plain Text"/>
    <w:basedOn w:val="Normal"/>
    <w:link w:val="PlainTextChar"/>
    <w:uiPriority w:val="99"/>
    <w:unhideWhenUsed/>
    <w:rsid w:val="00F16494"/>
    <w:rPr>
      <w:rFonts w:ascii="Calibri" w:hAnsi="Calibri"/>
      <w:sz w:val="22"/>
      <w:szCs w:val="21"/>
      <w:lang w:val="en-US"/>
    </w:rPr>
  </w:style>
  <w:style w:type="character" w:customStyle="1" w:styleId="PlainTextChar">
    <w:name w:val="Plain Text Char"/>
    <w:basedOn w:val="DefaultParagraphFont"/>
    <w:link w:val="PlainText"/>
    <w:uiPriority w:val="99"/>
    <w:rsid w:val="00F16494"/>
    <w:rPr>
      <w:rFonts w:ascii="Calibri" w:hAnsi="Calibri"/>
      <w:szCs w:val="21"/>
      <w:lang w:val="en-US"/>
    </w:rPr>
  </w:style>
  <w:style w:type="table" w:styleId="TableGrid">
    <w:name w:val="Table Grid"/>
    <w:basedOn w:val="TableNormal"/>
    <w:uiPriority w:val="59"/>
    <w:rsid w:val="00E7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3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DE4BF5D24B3242B2572212C3B01E16" ma:contentTypeVersion="13" ma:contentTypeDescription="Create a new document." ma:contentTypeScope="" ma:versionID="940e7f408bad2be986097a03f95517b1">
  <xsd:schema xmlns:xsd="http://www.w3.org/2001/XMLSchema" xmlns:xs="http://www.w3.org/2001/XMLSchema" xmlns:p="http://schemas.microsoft.com/office/2006/metadata/properties" xmlns:ns3="98b257b5-aa19-4d38-8c3a-2241ce9575ce" xmlns:ns4="496eaf55-0ca6-4345-9323-1b22858a0317" targetNamespace="http://schemas.microsoft.com/office/2006/metadata/properties" ma:root="true" ma:fieldsID="3482731f4396f159f5c247fc9fe19974" ns3:_="" ns4:_="">
    <xsd:import namespace="98b257b5-aa19-4d38-8c3a-2241ce9575ce"/>
    <xsd:import namespace="496eaf55-0ca6-4345-9323-1b22858a03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257b5-aa19-4d38-8c3a-2241ce957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eaf55-0ca6-4345-9323-1b22858a03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FC8D9-E7F0-427C-9E18-88848A44C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257b5-aa19-4d38-8c3a-2241ce9575ce"/>
    <ds:schemaRef ds:uri="496eaf55-0ca6-4345-9323-1b22858a0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4590-F74B-4C89-8DBE-735DF8C175D2}">
  <ds:schemaRefs>
    <ds:schemaRef ds:uri="http://schemas.microsoft.com/office/infopath/2007/PartnerControls"/>
    <ds:schemaRef ds:uri="http://schemas.microsoft.com/office/2006/metadata/properties"/>
    <ds:schemaRef ds:uri="496eaf55-0ca6-4345-9323-1b22858a0317"/>
    <ds:schemaRef ds:uri="http://schemas.microsoft.com/office/2006/documentManagement/types"/>
    <ds:schemaRef ds:uri="http://purl.org/dc/terms/"/>
    <ds:schemaRef ds:uri="http://schemas.openxmlformats.org/package/2006/metadata/core-properties"/>
    <ds:schemaRef ds:uri="http://purl.org/dc/dcmitype/"/>
    <ds:schemaRef ds:uri="98b257b5-aa19-4d38-8c3a-2241ce9575ce"/>
    <ds:schemaRef ds:uri="http://www.w3.org/XML/1998/namespace"/>
    <ds:schemaRef ds:uri="http://purl.org/dc/elements/1.1/"/>
  </ds:schemaRefs>
</ds:datastoreItem>
</file>

<file path=customXml/itemProps3.xml><?xml version="1.0" encoding="utf-8"?>
<ds:datastoreItem xmlns:ds="http://schemas.openxmlformats.org/officeDocument/2006/customXml" ds:itemID="{8C20BF9A-3604-47C9-8914-C9C13F513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3502</Words>
  <Characters>19966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Ured Predsjednika</Company>
  <LinksUpToDate>false</LinksUpToDate>
  <CharactersWithSpaces>23422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Suzana Rebselj</cp:lastModifiedBy>
  <cp:revision>2</cp:revision>
  <cp:lastPrinted>2020-07-30T22:06:00Z</cp:lastPrinted>
  <dcterms:created xsi:type="dcterms:W3CDTF">2020-10-12T12:00:00Z</dcterms:created>
  <dcterms:modified xsi:type="dcterms:W3CDTF">2020-10-12T12:00:00Z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0x010100ACDE4BF5D24B3242B2572212C3B01E16</vt:lpwstr>
  </property>
</Properties>
</file>